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71D90" w14:textId="77777777" w:rsidR="00772B48" w:rsidRPr="00772B48" w:rsidRDefault="00772B48" w:rsidP="00772B48">
      <w:r w:rsidRPr="00772B48">
        <w:rPr>
          <w:b/>
          <w:bCs/>
        </w:rPr>
        <w:t>ANEXO I</w:t>
      </w:r>
    </w:p>
    <w:p w14:paraId="0115FD26" w14:textId="77777777" w:rsidR="00772B48" w:rsidRPr="00772B48" w:rsidRDefault="00772B48" w:rsidP="00772B48">
      <w:r w:rsidRPr="00772B48">
        <w:rPr>
          <w:b/>
          <w:bCs/>
        </w:rPr>
        <w:t>RELAÇÃO EXEMPLIFICATIVA DE EMPREENDIMENTOS E ATIVIDADES CLASSIFICADOS COMO GRANDES GERADORES DE RESÍDUOS SÓLIDOS</w:t>
      </w:r>
    </w:p>
    <w:p w14:paraId="439D5A7E" w14:textId="77777777" w:rsidR="00772B48" w:rsidRPr="00772B48" w:rsidRDefault="00772B48" w:rsidP="00772B48">
      <w:r w:rsidRPr="00772B48">
        <w:t>Para os efeitos desta Resolução, consideram-se Grandes Geradores de resíduos sólidos os seguintes empreendimentos e atividades, estruturados por categorias:</w:t>
      </w:r>
    </w:p>
    <w:p w14:paraId="091F18BD" w14:textId="77777777" w:rsidR="002F3157" w:rsidRDefault="00772B48" w:rsidP="00772B48">
      <w:pPr>
        <w:rPr>
          <w:b/>
          <w:bCs/>
        </w:rPr>
      </w:pPr>
      <w:r w:rsidRPr="00772B48">
        <w:rPr>
          <w:b/>
          <w:bCs/>
        </w:rPr>
        <w:t>1. Atividades Industriais e Fabris</w:t>
      </w:r>
    </w:p>
    <w:p w14:paraId="06A57CC1" w14:textId="32F21D0C" w:rsidR="00772B48" w:rsidRPr="00772B48" w:rsidRDefault="00772B48" w:rsidP="00772B48">
      <w:r w:rsidRPr="00772B48">
        <w:t>1.1. Estabelecimentos industriais e fabris responsáveis pela geração de resíduos sólidos não perigosos (administrativos, de refeitórios, entre outros) que, por sua natureza, composição ou volume, não sejam equiparados aos resíduos domiciliares pelo Poder Público Municipal ou que extrapolem o limite quantitativo fixado.</w:t>
      </w:r>
    </w:p>
    <w:p w14:paraId="16D98C90" w14:textId="77777777" w:rsidR="002F3157" w:rsidRDefault="00772B48" w:rsidP="00772B48">
      <w:r w:rsidRPr="00772B48">
        <w:rPr>
          <w:b/>
          <w:bCs/>
        </w:rPr>
        <w:t>2. Atividades Comerciais e Atacadistas</w:t>
      </w:r>
      <w:r w:rsidRPr="00772B48">
        <w:t xml:space="preserve"> </w:t>
      </w:r>
    </w:p>
    <w:p w14:paraId="7B538E50" w14:textId="77777777" w:rsidR="002F3157" w:rsidRDefault="00772B48" w:rsidP="00772B48">
      <w:r w:rsidRPr="00772B48">
        <w:t xml:space="preserve">2.1. Supermercados, hipermercados, mercados, atacadistas e centrais de abastecimento. </w:t>
      </w:r>
    </w:p>
    <w:p w14:paraId="1E1E158E" w14:textId="77777777" w:rsidR="002F3157" w:rsidRDefault="00772B48" w:rsidP="00772B48">
      <w:r w:rsidRPr="00772B48">
        <w:t xml:space="preserve">2.2. Shopping centers, centros comerciais, galerias de lojas e complexos de compras. </w:t>
      </w:r>
    </w:p>
    <w:p w14:paraId="15AFA30D" w14:textId="4F878C4C" w:rsidR="00772B48" w:rsidRPr="00772B48" w:rsidRDefault="00772B48" w:rsidP="00772B48">
      <w:r w:rsidRPr="00772B48">
        <w:t>2.3. Lojas de departamentos, depósitos de mercadorias e centros de distribuição. 2.4. Postos de combustíveis, concessionárias de veículos e oficinas mecânicas de grande porte.</w:t>
      </w:r>
    </w:p>
    <w:p w14:paraId="09BFECDB" w14:textId="77777777" w:rsidR="002F3157" w:rsidRDefault="00772B48" w:rsidP="00772B48">
      <w:r w:rsidRPr="00772B48">
        <w:rPr>
          <w:b/>
          <w:bCs/>
        </w:rPr>
        <w:t>3. Atividades de Prestação de Serviços</w:t>
      </w:r>
      <w:r w:rsidRPr="00772B48">
        <w:t xml:space="preserve"> </w:t>
      </w:r>
    </w:p>
    <w:p w14:paraId="2A58B264" w14:textId="77777777" w:rsidR="002F3157" w:rsidRDefault="00772B48" w:rsidP="00772B48">
      <w:r w:rsidRPr="00772B48">
        <w:t xml:space="preserve">3.1. Hotéis, resorts, apart-hotéis, motéis e similares de hospedagem coletiva. </w:t>
      </w:r>
    </w:p>
    <w:p w14:paraId="1EA177A1" w14:textId="77777777" w:rsidR="002F3157" w:rsidRDefault="00772B48" w:rsidP="00772B48">
      <w:r w:rsidRPr="00772B48">
        <w:t xml:space="preserve">3.2. Restaurantes, bares, lanchonetes, buffets, praças de alimentação e cozinhas industriais. </w:t>
      </w:r>
    </w:p>
    <w:p w14:paraId="7A05D5A5" w14:textId="77777777" w:rsidR="002F3157" w:rsidRDefault="00772B48" w:rsidP="00772B48">
      <w:r w:rsidRPr="00772B48">
        <w:t xml:space="preserve">3.3. Hospitais, clínicas médicas, odontológicas e veterinárias, laboratórios de análises clínicas e farmácias, ressalvados os resíduos perigosos ou infectantes regulados por legislação específica. </w:t>
      </w:r>
    </w:p>
    <w:p w14:paraId="178A6F7D" w14:textId="77777777" w:rsidR="002F3157" w:rsidRDefault="00772B48" w:rsidP="00772B48">
      <w:r w:rsidRPr="00772B48">
        <w:t xml:space="preserve">3.4. Cinemas, teatros, casas de espetáculos, salões de festas e centros de convenções. </w:t>
      </w:r>
    </w:p>
    <w:p w14:paraId="0E0EE046" w14:textId="4CE20FF1" w:rsidR="00772B48" w:rsidRPr="00772B48" w:rsidRDefault="00772B48" w:rsidP="00772B48">
      <w:r w:rsidRPr="00772B48">
        <w:t>3.5. Clubes recreativos, complexos esportivos e academias de ginástica de grande porte.</w:t>
      </w:r>
    </w:p>
    <w:p w14:paraId="215E09F5" w14:textId="77777777" w:rsidR="002F3157" w:rsidRDefault="00772B48" w:rsidP="00772B48">
      <w:r w:rsidRPr="00772B48">
        <w:rPr>
          <w:b/>
          <w:bCs/>
        </w:rPr>
        <w:t>4. Estabelecimentos Institucionais</w:t>
      </w:r>
      <w:r w:rsidRPr="00772B48">
        <w:t xml:space="preserve"> </w:t>
      </w:r>
    </w:p>
    <w:p w14:paraId="2A5C9B6F" w14:textId="77777777" w:rsidR="002F3157" w:rsidRDefault="00772B48" w:rsidP="00772B48">
      <w:r w:rsidRPr="00772B48">
        <w:t xml:space="preserve">4.1. Instituições de ensino de grande porte, compreendendo universidades, faculdades e colégios. </w:t>
      </w:r>
    </w:p>
    <w:p w14:paraId="163FB684" w14:textId="77777777" w:rsidR="002F3157" w:rsidRDefault="00772B48" w:rsidP="00772B48">
      <w:r w:rsidRPr="00772B48">
        <w:t xml:space="preserve">4.2. Órgãos da administração pública direta e indireta com grande circulação de público e servidores. </w:t>
      </w:r>
    </w:p>
    <w:p w14:paraId="6BBE99E5" w14:textId="3DC3A939" w:rsidR="00772B48" w:rsidRPr="00772B48" w:rsidRDefault="00772B48" w:rsidP="00772B48">
      <w:r w:rsidRPr="00772B48">
        <w:lastRenderedPageBreak/>
        <w:t>4.3. Quartéis, presídios, unidades prisionais e instituições de longa permanência de grande porte.</w:t>
      </w:r>
    </w:p>
    <w:p w14:paraId="174D1792" w14:textId="77777777" w:rsidR="002F3157" w:rsidRDefault="00772B48" w:rsidP="00772B48">
      <w:r w:rsidRPr="00772B48">
        <w:rPr>
          <w:b/>
          <w:bCs/>
        </w:rPr>
        <w:t>5. Condomínios e Edificações Coletivas</w:t>
      </w:r>
      <w:r w:rsidRPr="00772B48">
        <w:t xml:space="preserve"> </w:t>
      </w:r>
    </w:p>
    <w:p w14:paraId="78697E44" w14:textId="77777777" w:rsidR="002F3157" w:rsidRDefault="00772B48" w:rsidP="00772B48">
      <w:r w:rsidRPr="00772B48">
        <w:t xml:space="preserve">5.1. Condomínios de edifícios não residenciais, comerciais ou de serviços. </w:t>
      </w:r>
    </w:p>
    <w:p w14:paraId="52F4CFAF" w14:textId="77777777" w:rsidR="002F3157" w:rsidRDefault="00772B48" w:rsidP="00772B48">
      <w:r w:rsidRPr="00772B48">
        <w:t xml:space="preserve">5.2. Condomínios de edifícios de uso misto, considerada a soma dos resíduos gerados pelas unidades autônomas que os compõem. </w:t>
      </w:r>
    </w:p>
    <w:p w14:paraId="0A22D670" w14:textId="021DF962" w:rsidR="00772B48" w:rsidRPr="00772B48" w:rsidRDefault="00772B48" w:rsidP="00772B48">
      <w:r w:rsidRPr="00772B48">
        <w:t>5.3. Condomínios e loteamentos residenciais, horizontais e verticais, cuja geração total diária de resíduos ultrapasse o volume máximo estabelecido pelo Poder Público Municipal.</w:t>
      </w:r>
    </w:p>
    <w:p w14:paraId="30E3D958" w14:textId="77777777" w:rsidR="00DD2C30" w:rsidRDefault="00772B48" w:rsidP="00772B48">
      <w:r w:rsidRPr="00772B48">
        <w:rPr>
          <w:b/>
          <w:bCs/>
        </w:rPr>
        <w:t>6. Eventos de Qualquer Natureza</w:t>
      </w:r>
      <w:r w:rsidRPr="00772B48">
        <w:t xml:space="preserve"> </w:t>
      </w:r>
    </w:p>
    <w:p w14:paraId="52453A8B" w14:textId="77777777" w:rsidR="00DD2C30" w:rsidRDefault="00772B48" w:rsidP="00772B48">
      <w:r w:rsidRPr="00772B48">
        <w:t xml:space="preserve">6.1. Shows, festivais musicais, feiras de negócios, exposições, congressos, simpósios e convenções. </w:t>
      </w:r>
    </w:p>
    <w:p w14:paraId="70A6F14A" w14:textId="77777777" w:rsidR="00DD2C30" w:rsidRDefault="00772B48" w:rsidP="00772B48">
      <w:r w:rsidRPr="00772B48">
        <w:t xml:space="preserve">6.2. Eventos festivos, culturais, políticos, religiosos, desfiles públicos e manifestações de massa. </w:t>
      </w:r>
    </w:p>
    <w:p w14:paraId="75893E0E" w14:textId="44E3C26F" w:rsidR="00772B48" w:rsidRPr="00772B48" w:rsidRDefault="00772B48" w:rsidP="00772B48">
      <w:r w:rsidRPr="00772B48">
        <w:t>6.3. Campeonatos, competições esportivas, parques de diversões temporários, circos e feiras itinerantes.</w:t>
      </w:r>
    </w:p>
    <w:p w14:paraId="295D12A8" w14:textId="77777777" w:rsidR="00DA4B01" w:rsidRDefault="00DA4B01"/>
    <w:sectPr w:rsidR="00DA4B0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7991"/>
    <w:multiLevelType w:val="multilevel"/>
    <w:tmpl w:val="227A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F31A10"/>
    <w:multiLevelType w:val="multilevel"/>
    <w:tmpl w:val="1F12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013A39"/>
    <w:multiLevelType w:val="multilevel"/>
    <w:tmpl w:val="C9C8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B57704"/>
    <w:multiLevelType w:val="multilevel"/>
    <w:tmpl w:val="58B8E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DD1F5B"/>
    <w:multiLevelType w:val="multilevel"/>
    <w:tmpl w:val="16AE5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2676C4"/>
    <w:multiLevelType w:val="multilevel"/>
    <w:tmpl w:val="1668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2541339">
    <w:abstractNumId w:val="2"/>
  </w:num>
  <w:num w:numId="2" w16cid:durableId="733502748">
    <w:abstractNumId w:val="4"/>
  </w:num>
  <w:num w:numId="3" w16cid:durableId="727732273">
    <w:abstractNumId w:val="5"/>
  </w:num>
  <w:num w:numId="4" w16cid:durableId="2071804233">
    <w:abstractNumId w:val="1"/>
  </w:num>
  <w:num w:numId="5" w16cid:durableId="393047635">
    <w:abstractNumId w:val="0"/>
  </w:num>
  <w:num w:numId="6" w16cid:durableId="3087053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E3"/>
    <w:rsid w:val="00054EB4"/>
    <w:rsid w:val="001F44FC"/>
    <w:rsid w:val="002F3157"/>
    <w:rsid w:val="00463110"/>
    <w:rsid w:val="00503C6F"/>
    <w:rsid w:val="00772B48"/>
    <w:rsid w:val="00B711E3"/>
    <w:rsid w:val="00C57FBD"/>
    <w:rsid w:val="00DA4B01"/>
    <w:rsid w:val="00DD2C30"/>
    <w:rsid w:val="00EF21C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A62EF"/>
  <w15:chartTrackingRefBased/>
  <w15:docId w15:val="{77199223-E763-4ACC-A0B0-82BD3BB35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711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B711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B711E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B711E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B711E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B711E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711E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711E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711E3"/>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711E3"/>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B711E3"/>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B711E3"/>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B711E3"/>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B711E3"/>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B711E3"/>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711E3"/>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711E3"/>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711E3"/>
    <w:rPr>
      <w:rFonts w:eastAsiaTheme="majorEastAsia" w:cstheme="majorBidi"/>
      <w:color w:val="272727" w:themeColor="text1" w:themeTint="D8"/>
    </w:rPr>
  </w:style>
  <w:style w:type="paragraph" w:styleId="Ttulo">
    <w:name w:val="Title"/>
    <w:basedOn w:val="Normal"/>
    <w:next w:val="Normal"/>
    <w:link w:val="TtuloChar"/>
    <w:uiPriority w:val="10"/>
    <w:qFormat/>
    <w:rsid w:val="00B711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711E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711E3"/>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711E3"/>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711E3"/>
    <w:pPr>
      <w:spacing w:before="160"/>
      <w:jc w:val="center"/>
    </w:pPr>
    <w:rPr>
      <w:i/>
      <w:iCs/>
      <w:color w:val="404040" w:themeColor="text1" w:themeTint="BF"/>
    </w:rPr>
  </w:style>
  <w:style w:type="character" w:customStyle="1" w:styleId="CitaoChar">
    <w:name w:val="Citação Char"/>
    <w:basedOn w:val="Fontepargpadro"/>
    <w:link w:val="Citao"/>
    <w:uiPriority w:val="29"/>
    <w:rsid w:val="00B711E3"/>
    <w:rPr>
      <w:i/>
      <w:iCs/>
      <w:color w:val="404040" w:themeColor="text1" w:themeTint="BF"/>
    </w:rPr>
  </w:style>
  <w:style w:type="paragraph" w:styleId="PargrafodaLista">
    <w:name w:val="List Paragraph"/>
    <w:basedOn w:val="Normal"/>
    <w:uiPriority w:val="34"/>
    <w:qFormat/>
    <w:rsid w:val="00B711E3"/>
    <w:pPr>
      <w:ind w:left="720"/>
      <w:contextualSpacing/>
    </w:pPr>
  </w:style>
  <w:style w:type="character" w:styleId="nfaseIntensa">
    <w:name w:val="Intense Emphasis"/>
    <w:basedOn w:val="Fontepargpadro"/>
    <w:uiPriority w:val="21"/>
    <w:qFormat/>
    <w:rsid w:val="00B711E3"/>
    <w:rPr>
      <w:i/>
      <w:iCs/>
      <w:color w:val="0F4761" w:themeColor="accent1" w:themeShade="BF"/>
    </w:rPr>
  </w:style>
  <w:style w:type="paragraph" w:styleId="CitaoIntensa">
    <w:name w:val="Intense Quote"/>
    <w:basedOn w:val="Normal"/>
    <w:next w:val="Normal"/>
    <w:link w:val="CitaoIntensaChar"/>
    <w:uiPriority w:val="30"/>
    <w:qFormat/>
    <w:rsid w:val="00B711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B711E3"/>
    <w:rPr>
      <w:i/>
      <w:iCs/>
      <w:color w:val="0F4761" w:themeColor="accent1" w:themeShade="BF"/>
    </w:rPr>
  </w:style>
  <w:style w:type="character" w:styleId="RefernciaIntensa">
    <w:name w:val="Intense Reference"/>
    <w:basedOn w:val="Fontepargpadro"/>
    <w:uiPriority w:val="32"/>
    <w:qFormat/>
    <w:rsid w:val="00B711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954592">
      <w:bodyDiv w:val="1"/>
      <w:marLeft w:val="0"/>
      <w:marRight w:val="0"/>
      <w:marTop w:val="0"/>
      <w:marBottom w:val="0"/>
      <w:divBdr>
        <w:top w:val="none" w:sz="0" w:space="0" w:color="auto"/>
        <w:left w:val="none" w:sz="0" w:space="0" w:color="auto"/>
        <w:bottom w:val="none" w:sz="0" w:space="0" w:color="auto"/>
        <w:right w:val="none" w:sz="0" w:space="0" w:color="auto"/>
      </w:divBdr>
    </w:div>
    <w:div w:id="329451778">
      <w:bodyDiv w:val="1"/>
      <w:marLeft w:val="0"/>
      <w:marRight w:val="0"/>
      <w:marTop w:val="0"/>
      <w:marBottom w:val="0"/>
      <w:divBdr>
        <w:top w:val="none" w:sz="0" w:space="0" w:color="auto"/>
        <w:left w:val="none" w:sz="0" w:space="0" w:color="auto"/>
        <w:bottom w:val="none" w:sz="0" w:space="0" w:color="auto"/>
        <w:right w:val="none" w:sz="0" w:space="0" w:color="auto"/>
      </w:divBdr>
    </w:div>
    <w:div w:id="1218280086">
      <w:bodyDiv w:val="1"/>
      <w:marLeft w:val="0"/>
      <w:marRight w:val="0"/>
      <w:marTop w:val="0"/>
      <w:marBottom w:val="0"/>
      <w:divBdr>
        <w:top w:val="none" w:sz="0" w:space="0" w:color="auto"/>
        <w:left w:val="none" w:sz="0" w:space="0" w:color="auto"/>
        <w:bottom w:val="none" w:sz="0" w:space="0" w:color="auto"/>
        <w:right w:val="none" w:sz="0" w:space="0" w:color="auto"/>
      </w:divBdr>
    </w:div>
    <w:div w:id="1888448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c964c2-e4f3-45db-8c94-b2547eb0e0f9" xsi:nil="true"/>
    <lcf76f155ced4ddcb4097134ff3c332f xmlns="6646d421-3db8-4fda-ad4f-ec9c32630b8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D1EBA2E921284846A95D7794F4E54E46" ma:contentTypeVersion="19" ma:contentTypeDescription="Crie um novo documento." ma:contentTypeScope="" ma:versionID="7cf70760843eab6a0055735cc52eaba1">
  <xsd:schema xmlns:xsd="http://www.w3.org/2001/XMLSchema" xmlns:xs="http://www.w3.org/2001/XMLSchema" xmlns:p="http://schemas.microsoft.com/office/2006/metadata/properties" xmlns:ns2="6646d421-3db8-4fda-ad4f-ec9c32630b8f" xmlns:ns3="7ec964c2-e4f3-45db-8c94-b2547eb0e0f9" targetNamespace="http://schemas.microsoft.com/office/2006/metadata/properties" ma:root="true" ma:fieldsID="28c1d9e9f46a7061ffff5f1c59e2ce0f" ns2:_="" ns3:_="">
    <xsd:import namespace="6646d421-3db8-4fda-ad4f-ec9c32630b8f"/>
    <xsd:import namespace="7ec964c2-e4f3-45db-8c94-b2547eb0e0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46d421-3db8-4fda-ad4f-ec9c32630b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e20e9e44-ce6c-4e35-b88c-959516175653"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c964c2-e4f3-45db-8c94-b2547eb0e0f9" elementFormDefault="qualified">
    <xsd:import namespace="http://schemas.microsoft.com/office/2006/documentManagement/types"/>
    <xsd:import namespace="http://schemas.microsoft.com/office/infopath/2007/PartnerControls"/>
    <xsd:element name="SharedWithUsers" ma:index="17"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hes de Compartilhado Com" ma:internalName="SharedWithDetails" ma:readOnly="true">
      <xsd:simpleType>
        <xsd:restriction base="dms:Note">
          <xsd:maxLength value="255"/>
        </xsd:restriction>
      </xsd:simpleType>
    </xsd:element>
    <xsd:element name="TaxCatchAll" ma:index="21" nillable="true" ma:displayName="Taxonomy Catch All Column" ma:hidden="true" ma:list="{07c374e9-aa86-44b7-b944-3f1fc47a3ca1}" ma:internalName="TaxCatchAll" ma:showField="CatchAllData" ma:web="7ec964c2-e4f3-45db-8c94-b2547eb0e0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23EF17-5F07-44BE-BED3-2A6D3EA64D5A}">
  <ds:schemaRefs>
    <ds:schemaRef ds:uri="http://schemas.microsoft.com/office/2006/metadata/properties"/>
    <ds:schemaRef ds:uri="http://schemas.microsoft.com/office/infopath/2007/PartnerControls"/>
    <ds:schemaRef ds:uri="7ec964c2-e4f3-45db-8c94-b2547eb0e0f9"/>
    <ds:schemaRef ds:uri="6646d421-3db8-4fda-ad4f-ec9c32630b8f"/>
  </ds:schemaRefs>
</ds:datastoreItem>
</file>

<file path=customXml/itemProps2.xml><?xml version="1.0" encoding="utf-8"?>
<ds:datastoreItem xmlns:ds="http://schemas.openxmlformats.org/officeDocument/2006/customXml" ds:itemID="{FDBCDA5B-4442-4AC5-83BA-96C09B96E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46d421-3db8-4fda-ad4f-ec9c32630b8f"/>
    <ds:schemaRef ds:uri="7ec964c2-e4f3-45db-8c94-b2547eb0e0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CAEF23-B104-4EDF-BE16-54B352E23C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2287</Characters>
  <Application>Microsoft Office Word</Application>
  <DocSecurity>0</DocSecurity>
  <Lines>19</Lines>
  <Paragraphs>5</Paragraphs>
  <ScaleCrop>false</ScaleCrop>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do Couto Silva Costa</dc:creator>
  <cp:keywords/>
  <dc:description/>
  <cp:lastModifiedBy>Henrique Diniz Gebrim</cp:lastModifiedBy>
  <cp:revision>2</cp:revision>
  <dcterms:created xsi:type="dcterms:W3CDTF">2026-09-09T11:59:00Z</dcterms:created>
  <dcterms:modified xsi:type="dcterms:W3CDTF">2026-09-09T11:59:00Z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0x010100D1EBA2E921284846A95D7794F4E54E46</vt:lpwstr>
  </property>
</Properties>
</file>