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4630" w14:textId="77777777" w:rsidR="00812EE0" w:rsidRDefault="00812E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812EE0" w14:paraId="31A6E045" w14:textId="77777777">
        <w:trPr>
          <w:trHeight w:val="30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F8B57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RESOLUÇÃO nº 413, DE 26 DE JULHO DE 2009</w:t>
            </w:r>
          </w:p>
          <w:p w14:paraId="74C12B4B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9F69300" w14:textId="77777777" w:rsidR="00812EE0" w:rsidRDefault="00812EE0">
      <w:pPr>
        <w:rPr>
          <w:rFonts w:ascii="Arial" w:eastAsia="Arial" w:hAnsi="Arial" w:cs="Arial"/>
        </w:rPr>
      </w:pPr>
    </w:p>
    <w:p w14:paraId="33726255" w14:textId="77777777" w:rsidR="00812EE0" w:rsidRDefault="004D36D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CONSIDERANDO a necessidade de ordenamento e controle da atividade aquícola com base numa produção sustentável, Resolve:</w:t>
      </w:r>
    </w:p>
    <w:p w14:paraId="46332FF8" w14:textId="77777777" w:rsidR="00812EE0" w:rsidRDefault="00812EE0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34C415CF" w14:textId="77777777" w:rsidR="00812EE0" w:rsidRDefault="004D36D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1º Esta Resolução tem como objeto estabelecer normas e critérios para o licenciamento ambiental da aquicultura.</w:t>
      </w:r>
    </w:p>
    <w:p w14:paraId="6185826F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9E9CD2A" w14:textId="77777777" w:rsidR="00812EE0" w:rsidRDefault="004D36D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§ 1º O disposto nesta Resolução não se aplica aos empreendimentos relativos à carcinicultura em zona costeira, normatizado por instrumento específico.   </w:t>
      </w:r>
    </w:p>
    <w:p w14:paraId="7970B339" w14:textId="77777777" w:rsidR="00812EE0" w:rsidRDefault="00812EE0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73989248" w14:textId="77777777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§ 2º No caso do licenciamento ambiental de empreendimentos aquícolas localizados em águas de domínio da União, além do disposto nesta Resolução, deverão ser seguidas as normas específicas para a obtenção de cessão de uso de espaços físicos de corpos d'água de domínio da União.</w:t>
      </w:r>
    </w:p>
    <w:p w14:paraId="3F30C8AC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4D8F3358" w14:textId="77777777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bookmarkStart w:id="0" w:name="_Hlk206529167"/>
      <w:commentRangeStart w:id="1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Art. 2º </w:t>
      </w:r>
      <w:commentRangeEnd w:id="1"/>
      <w:r>
        <w:commentReference w:id="1"/>
      </w:r>
      <w:proofErr w:type="gramStart"/>
      <w:r w:rsidRPr="4A0C5390">
        <w:rPr>
          <w:rFonts w:ascii="Arial" w:eastAsia="Arial" w:hAnsi="Arial" w:cs="Arial"/>
          <w:color w:val="242424"/>
          <w:sz w:val="22"/>
          <w:szCs w:val="22"/>
        </w:rPr>
        <w:t>Os</w:t>
      </w:r>
      <w:commentRangeStart w:id="2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procedimento</w:t>
      </w:r>
      <w:commentRangeEnd w:id="2"/>
      <w:proofErr w:type="gramEnd"/>
      <w:r>
        <w:commentReference w:id="2"/>
      </w:r>
      <w:r w:rsidRPr="4A0C5390">
        <w:rPr>
          <w:rFonts w:ascii="Arial" w:eastAsia="Arial" w:hAnsi="Arial" w:cs="Arial"/>
          <w:color w:val="242424"/>
          <w:sz w:val="22"/>
          <w:szCs w:val="22"/>
        </w:rPr>
        <w:t>s estabelecidos nesta Resolução, aplicam-se, ao licenciamento ambiental de atividades e empreendimentos de aquicultura,</w:t>
      </w:r>
      <w:commentRangeStart w:id="3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commentRangeStart w:id="4"/>
      <w:r w:rsidRPr="4A0C5390">
        <w:rPr>
          <w:rFonts w:ascii="Arial" w:eastAsia="Arial" w:hAnsi="Arial" w:cs="Arial"/>
          <w:color w:val="242424"/>
          <w:sz w:val="22"/>
          <w:szCs w:val="22"/>
        </w:rPr>
        <w:t>sem prejuíz</w:t>
      </w:r>
      <w:commentRangeEnd w:id="4"/>
      <w:r>
        <w:commentReference w:id="4"/>
      </w:r>
      <w:r w:rsidRPr="4A0C5390">
        <w:rPr>
          <w:rFonts w:ascii="Arial" w:eastAsia="Arial" w:hAnsi="Arial" w:cs="Arial"/>
          <w:color w:val="242424"/>
          <w:sz w:val="22"/>
          <w:szCs w:val="22"/>
        </w:rPr>
        <w:t>o dos processos de licenciamento já disciplinados pelos Estados, Municípios e Distrito Federal em legislações específicas,</w:t>
      </w:r>
      <w:commentRangeEnd w:id="3"/>
      <w:r>
        <w:commentReference w:id="3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considerando os aspectos ambi</w:t>
      </w:r>
      <w:commentRangeStart w:id="5"/>
      <w:r w:rsidRPr="4A0C5390">
        <w:rPr>
          <w:rFonts w:ascii="Arial" w:eastAsia="Arial" w:hAnsi="Arial" w:cs="Arial"/>
          <w:color w:val="242424"/>
          <w:sz w:val="22"/>
          <w:szCs w:val="22"/>
        </w:rPr>
        <w:t>entais locai</w:t>
      </w:r>
      <w:commentRangeEnd w:id="5"/>
      <w:r>
        <w:commentReference w:id="5"/>
      </w:r>
      <w:r w:rsidRPr="4A0C5390">
        <w:rPr>
          <w:rFonts w:ascii="Arial" w:eastAsia="Arial" w:hAnsi="Arial" w:cs="Arial"/>
          <w:color w:val="242424"/>
          <w:sz w:val="22"/>
          <w:szCs w:val="22"/>
        </w:rPr>
        <w:t>s.</w:t>
      </w:r>
    </w:p>
    <w:p w14:paraId="191CB16B" w14:textId="77777777" w:rsidR="00F6680E" w:rsidRDefault="00F6680E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6C5F3871" w14:textId="14887AB3" w:rsidR="00F6680E" w:rsidRDefault="00F6680E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  <w:r w:rsidRPr="00F6680E">
        <w:rPr>
          <w:rFonts w:ascii="Arial" w:eastAsia="Arial" w:hAnsi="Arial" w:cs="Arial"/>
          <w:color w:val="EE0000"/>
          <w:sz w:val="22"/>
          <w:szCs w:val="22"/>
        </w:rPr>
        <w:t>Contribuição (Roberta</w:t>
      </w:r>
      <w:r w:rsidR="00825FF7">
        <w:rPr>
          <w:rFonts w:ascii="Arial" w:eastAsia="Arial" w:hAnsi="Arial" w:cs="Arial"/>
          <w:color w:val="EE0000"/>
          <w:sz w:val="22"/>
          <w:szCs w:val="22"/>
        </w:rPr>
        <w:t xml:space="preserve"> Lopes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 xml:space="preserve"> – SEMACE/CE): 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Redação original da Resolução 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>nº 413</w:t>
      </w:r>
      <w:r>
        <w:rPr>
          <w:rFonts w:ascii="Arial" w:eastAsia="Arial" w:hAnsi="Arial" w:cs="Arial"/>
          <w:color w:val="EE0000"/>
          <w:sz w:val="22"/>
          <w:szCs w:val="22"/>
        </w:rPr>
        <w:t>/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>2009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- </w:t>
      </w:r>
      <w:r w:rsidRPr="00F6680E">
        <w:rPr>
          <w:rFonts w:ascii="Arial" w:eastAsia="Arial" w:hAnsi="Arial" w:cs="Arial"/>
          <w:i/>
          <w:iCs/>
          <w:color w:val="EE0000"/>
          <w:sz w:val="22"/>
          <w:szCs w:val="22"/>
        </w:rPr>
        <w:t>“</w:t>
      </w:r>
      <w:r w:rsidRPr="00F6680E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Art. 2o Os procedimentos estabelecidos nesta Resolução, aplicam-se, </w:t>
      </w:r>
      <w:r w:rsidRPr="00F6680E">
        <w:rPr>
          <w:rFonts w:ascii="Arial" w:eastAsia="Arial" w:hAnsi="Arial" w:cs="Arial"/>
          <w:i/>
          <w:iCs/>
          <w:color w:val="7030A0"/>
          <w:sz w:val="22"/>
          <w:szCs w:val="22"/>
        </w:rPr>
        <w:t>em qualquer nível de competência</w:t>
      </w:r>
      <w:r w:rsidRPr="00F6680E">
        <w:rPr>
          <w:rFonts w:ascii="Arial" w:eastAsia="Arial" w:hAnsi="Arial" w:cs="Arial"/>
          <w:i/>
          <w:iCs/>
          <w:color w:val="EE0000"/>
          <w:sz w:val="22"/>
          <w:szCs w:val="22"/>
        </w:rPr>
        <w:t>, ao licenciamento ambiental de atividades e empreendimentos de aquicultura, sem prejuízo dos processos de licenciamento já disciplinados pelos Estados, Municípios e Distrito Federal em legislações específicas, considerando os aspectos ambientais locais</w:t>
      </w:r>
      <w:r>
        <w:rPr>
          <w:rFonts w:ascii="Arial" w:eastAsia="Arial" w:hAnsi="Arial" w:cs="Arial"/>
          <w:i/>
          <w:iCs/>
          <w:color w:val="EE0000"/>
          <w:sz w:val="22"/>
          <w:szCs w:val="22"/>
        </w:rPr>
        <w:t>.</w:t>
      </w:r>
    </w:p>
    <w:p w14:paraId="6E9D0BA4" w14:textId="77777777" w:rsidR="00F6680E" w:rsidRDefault="00F6680E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658E3457" w14:textId="54508ADB" w:rsidR="00F6680E" w:rsidRDefault="00F6680E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F6680E">
        <w:rPr>
          <w:rFonts w:ascii="Arial" w:eastAsia="Arial" w:hAnsi="Arial" w:cs="Arial"/>
          <w:color w:val="EE0000"/>
          <w:sz w:val="22"/>
          <w:szCs w:val="22"/>
        </w:rPr>
        <w:t>Ao se retirar o trecho</w:t>
      </w:r>
      <w:r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 </w:t>
      </w:r>
      <w:r w:rsidRPr="00F6680E">
        <w:rPr>
          <w:rFonts w:ascii="Arial" w:eastAsia="Arial" w:hAnsi="Arial" w:cs="Arial"/>
          <w:i/>
          <w:iCs/>
          <w:color w:val="7030A0"/>
          <w:sz w:val="22"/>
          <w:szCs w:val="22"/>
        </w:rPr>
        <w:t>em qualquer nível de competência</w:t>
      </w:r>
      <w:r>
        <w:rPr>
          <w:rFonts w:ascii="Arial" w:eastAsia="Arial" w:hAnsi="Arial" w:cs="Arial"/>
          <w:i/>
          <w:iCs/>
          <w:color w:val="7030A0"/>
          <w:sz w:val="22"/>
          <w:szCs w:val="22"/>
        </w:rPr>
        <w:t xml:space="preserve">, 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 xml:space="preserve">além do erro gramatical, pois separou 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com vírgula 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>o predicado do sujeito</w:t>
      </w:r>
      <w:r w:rsidR="00D06201">
        <w:rPr>
          <w:rFonts w:ascii="Arial" w:eastAsia="Arial" w:hAnsi="Arial" w:cs="Arial"/>
          <w:color w:val="EE0000"/>
          <w:sz w:val="22"/>
          <w:szCs w:val="22"/>
        </w:rPr>
        <w:t xml:space="preserve">, acabou por excluir o desejo de que a Resolução se aplique a todos os entes, bem como que as normas respectivas não prejudiquem as normas gerais. É preciso lembrar que a obediência às normas gerais ditadas pela União decorre do </w:t>
      </w:r>
      <w:r w:rsidR="00D06201" w:rsidRPr="00D06201">
        <w:rPr>
          <w:rFonts w:ascii="Arial" w:eastAsia="Arial" w:hAnsi="Arial" w:cs="Arial"/>
          <w:color w:val="EE0000"/>
          <w:sz w:val="22"/>
          <w:szCs w:val="22"/>
        </w:rPr>
        <w:t>princípio da repartição de competências constitucionais</w:t>
      </w:r>
      <w:r w:rsidR="00D06201">
        <w:rPr>
          <w:rFonts w:ascii="Arial" w:eastAsia="Arial" w:hAnsi="Arial" w:cs="Arial"/>
          <w:color w:val="EE0000"/>
          <w:sz w:val="22"/>
          <w:szCs w:val="22"/>
        </w:rPr>
        <w:t xml:space="preserve">, segundo o qual os </w:t>
      </w:r>
      <w:r w:rsidR="00D06201" w:rsidRPr="00D06201">
        <w:rPr>
          <w:rFonts w:ascii="Arial" w:eastAsia="Arial" w:hAnsi="Arial" w:cs="Arial"/>
          <w:color w:val="EE0000"/>
          <w:sz w:val="22"/>
          <w:szCs w:val="22"/>
        </w:rPr>
        <w:t>Estados-membros e o Distrito Federal podem</w:t>
      </w:r>
      <w:r w:rsidR="00D06201"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 w:rsidR="00D06201" w:rsidRPr="00D06201">
        <w:rPr>
          <w:rFonts w:ascii="Arial" w:eastAsia="Arial" w:hAnsi="Arial" w:cs="Arial"/>
          <w:color w:val="EE0000"/>
          <w:sz w:val="22"/>
          <w:szCs w:val="22"/>
        </w:rPr>
        <w:t>legislar sobre normas complementares ou específicas, desde que não contrariem as normas gerais da União</w:t>
      </w:r>
      <w:r w:rsidR="00D06201">
        <w:rPr>
          <w:rFonts w:ascii="Arial" w:eastAsia="Arial" w:hAnsi="Arial" w:cs="Arial"/>
          <w:color w:val="EE0000"/>
          <w:sz w:val="22"/>
          <w:szCs w:val="22"/>
        </w:rPr>
        <w:t>.</w:t>
      </w:r>
    </w:p>
    <w:p w14:paraId="625306CB" w14:textId="77777777" w:rsidR="00D06201" w:rsidRDefault="00D06201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p w14:paraId="3021813D" w14:textId="09D78B78" w:rsidR="00825FF7" w:rsidRPr="00825FF7" w:rsidRDefault="00D06201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>
        <w:rPr>
          <w:rFonts w:ascii="Arial" w:eastAsia="Arial" w:hAnsi="Arial" w:cs="Arial"/>
          <w:color w:val="EE0000"/>
          <w:sz w:val="22"/>
          <w:szCs w:val="22"/>
        </w:rPr>
        <w:lastRenderedPageBreak/>
        <w:t xml:space="preserve">A inserção do verbete “processos” causa dúvida sobre se a norma está se referindo aos processos em tramitação nos órgãos </w:t>
      </w:r>
      <w:r w:rsidR="00825FF7">
        <w:rPr>
          <w:rFonts w:ascii="Arial" w:eastAsia="Arial" w:hAnsi="Arial" w:cs="Arial"/>
          <w:color w:val="EE0000"/>
          <w:sz w:val="22"/>
          <w:szCs w:val="22"/>
        </w:rPr>
        <w:t xml:space="preserve">ambientais estaduais ou se está se referindo aos procedimentos. De acordo com a Lei Complementar nº 95/98, que dispõe sobre </w:t>
      </w:r>
      <w:r w:rsidR="00825FF7" w:rsidRPr="00825FF7">
        <w:rPr>
          <w:rFonts w:ascii="Arial" w:eastAsia="Arial" w:hAnsi="Arial" w:cs="Arial"/>
          <w:color w:val="EE0000"/>
          <w:sz w:val="22"/>
          <w:szCs w:val="22"/>
        </w:rPr>
        <w:t>a elaboração, a redação, a alteração e a consolidação das leis</w:t>
      </w:r>
      <w:r w:rsidR="00825FF7">
        <w:rPr>
          <w:rFonts w:ascii="Arial" w:eastAsia="Arial" w:hAnsi="Arial" w:cs="Arial"/>
          <w:color w:val="EE0000"/>
          <w:sz w:val="22"/>
          <w:szCs w:val="22"/>
        </w:rPr>
        <w:t xml:space="preserve"> e atos normativos, </w:t>
      </w:r>
      <w:r w:rsidR="00825FF7">
        <w:rPr>
          <w:rFonts w:ascii="Arial" w:eastAsia="Arial" w:hAnsi="Arial" w:cs="Arial"/>
          <w:i/>
          <w:iCs/>
          <w:color w:val="EE0000"/>
          <w:sz w:val="22"/>
          <w:szCs w:val="22"/>
        </w:rPr>
        <w:t>a</w:t>
      </w:r>
      <w:r w:rsidR="00825FF7"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>rt. 11</w:t>
      </w:r>
      <w:r w:rsid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, </w:t>
      </w:r>
      <w:proofErr w:type="gramStart"/>
      <w:r w:rsidR="00825FF7"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>As</w:t>
      </w:r>
      <w:proofErr w:type="gramEnd"/>
      <w:r w:rsidR="00825FF7"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 disposições normativas serão redigidas com clareza, precisão e ordem lógica, observadas, para esse propósito, as seguintes normas:</w:t>
      </w:r>
    </w:p>
    <w:p w14:paraId="1813D251" w14:textId="77777777" w:rsidR="00825FF7" w:rsidRDefault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1B86AFAE" w14:textId="77777777" w:rsidR="00825FF7" w:rsidRPr="00825FF7" w:rsidRDefault="00825FF7" w:rsidP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II - </w:t>
      </w:r>
      <w:proofErr w:type="gramStart"/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>para</w:t>
      </w:r>
      <w:proofErr w:type="gramEnd"/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 a obtenção de precisão:</w:t>
      </w:r>
    </w:p>
    <w:p w14:paraId="5D173D2C" w14:textId="77777777" w:rsidR="00825FF7" w:rsidRDefault="00825FF7" w:rsidP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190E74AA" w14:textId="4BD59DE5" w:rsidR="00825FF7" w:rsidRPr="00825FF7" w:rsidRDefault="00825FF7" w:rsidP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>a) articular a linguagem, técnica ou comum, de modo a ensejar perfeita compreensão do objetivo da lei e a permitir que seu texto evidencie com clareza o conteúdo e o alcance que o legislador pretende dar à norma;</w:t>
      </w:r>
    </w:p>
    <w:p w14:paraId="15FCC5D2" w14:textId="77777777" w:rsidR="00825FF7" w:rsidRDefault="00825FF7" w:rsidP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5A9E580D" w14:textId="5F9298CC" w:rsidR="00825FF7" w:rsidRPr="00825FF7" w:rsidRDefault="00825FF7" w:rsidP="00825FF7">
      <w:pPr>
        <w:spacing w:after="0"/>
        <w:jc w:val="both"/>
        <w:rPr>
          <w:rFonts w:ascii="Arial" w:eastAsia="Arial" w:hAnsi="Arial" w:cs="Arial"/>
          <w:i/>
          <w:iCs/>
          <w:color w:val="7030A0"/>
          <w:sz w:val="22"/>
          <w:szCs w:val="22"/>
        </w:rPr>
      </w:pPr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b) expressar a </w:t>
      </w:r>
      <w:proofErr w:type="spellStart"/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>idéia</w:t>
      </w:r>
      <w:proofErr w:type="spellEnd"/>
      <w:r w:rsidRPr="00825FF7">
        <w:rPr>
          <w:rFonts w:ascii="Arial" w:eastAsia="Arial" w:hAnsi="Arial" w:cs="Arial"/>
          <w:i/>
          <w:iCs/>
          <w:color w:val="EE0000"/>
          <w:sz w:val="22"/>
          <w:szCs w:val="22"/>
        </w:rPr>
        <w:t xml:space="preserve">, quando repetida no texto, por meio das mesmas palavras, </w:t>
      </w:r>
      <w:r w:rsidRPr="00825FF7">
        <w:rPr>
          <w:rFonts w:ascii="Arial" w:eastAsia="Arial" w:hAnsi="Arial" w:cs="Arial"/>
          <w:i/>
          <w:iCs/>
          <w:color w:val="7030A0"/>
          <w:sz w:val="22"/>
          <w:szCs w:val="22"/>
        </w:rPr>
        <w:t>evitando o emprego de sinonímia com propósito meramente estilístico;</w:t>
      </w:r>
    </w:p>
    <w:p w14:paraId="395DDFB0" w14:textId="77777777" w:rsidR="00825FF7" w:rsidRDefault="00825FF7">
      <w:pPr>
        <w:spacing w:after="0"/>
        <w:jc w:val="both"/>
        <w:rPr>
          <w:rFonts w:ascii="Arial" w:eastAsia="Arial" w:hAnsi="Arial" w:cs="Arial"/>
          <w:i/>
          <w:iCs/>
          <w:color w:val="EE0000"/>
          <w:sz w:val="22"/>
          <w:szCs w:val="22"/>
        </w:rPr>
      </w:pPr>
    </w:p>
    <w:p w14:paraId="3D40828B" w14:textId="4A202883" w:rsidR="00825FF7" w:rsidRDefault="00825FF7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>
        <w:rPr>
          <w:rFonts w:ascii="Arial" w:eastAsia="Arial" w:hAnsi="Arial" w:cs="Arial"/>
          <w:color w:val="EE0000"/>
          <w:sz w:val="22"/>
          <w:szCs w:val="22"/>
        </w:rPr>
        <w:t>Desta sorte, para evitar confusão, sugere-se repetir a palavra procedimentos.</w:t>
      </w:r>
      <w:r w:rsidR="00FB629C">
        <w:rPr>
          <w:rFonts w:ascii="Arial" w:eastAsia="Arial" w:hAnsi="Arial" w:cs="Arial"/>
          <w:color w:val="EE0000"/>
          <w:sz w:val="22"/>
          <w:szCs w:val="22"/>
        </w:rPr>
        <w:t xml:space="preserve"> Além disso, a norma de transição quanto à aplicação da resolução aos processos em trâmite já foi prevista no art. 19.</w:t>
      </w:r>
    </w:p>
    <w:p w14:paraId="1585A925" w14:textId="77777777" w:rsidR="00825FF7" w:rsidRDefault="00825FF7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p w14:paraId="478FE307" w14:textId="799ECC67" w:rsidR="00FB629C" w:rsidRPr="00FB629C" w:rsidRDefault="00825FF7" w:rsidP="00FB629C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>
        <w:rPr>
          <w:rFonts w:ascii="Arial" w:eastAsia="Arial" w:hAnsi="Arial" w:cs="Arial"/>
          <w:color w:val="EE0000"/>
          <w:sz w:val="22"/>
          <w:szCs w:val="22"/>
        </w:rPr>
        <w:t xml:space="preserve">De acordo ainda com a LC nº 95/98, </w:t>
      </w:r>
      <w:r w:rsidR="00FB629C" w:rsidRPr="00FB629C">
        <w:rPr>
          <w:rFonts w:ascii="Arial" w:eastAsia="Arial" w:hAnsi="Arial" w:cs="Arial"/>
          <w:color w:val="EE0000"/>
          <w:sz w:val="22"/>
          <w:szCs w:val="22"/>
        </w:rPr>
        <w:t>Art. 3</w:t>
      </w:r>
      <w:r w:rsidR="00FB629C" w:rsidRPr="00FB629C">
        <w:rPr>
          <w:rFonts w:ascii="Arial" w:eastAsia="Arial" w:hAnsi="Arial" w:cs="Arial"/>
          <w:b/>
          <w:bCs/>
          <w:color w:val="EE0000"/>
          <w:sz w:val="22"/>
          <w:szCs w:val="22"/>
          <w:u w:val="single"/>
          <w:vertAlign w:val="superscript"/>
        </w:rPr>
        <w:t>o</w:t>
      </w:r>
      <w:proofErr w:type="gramStart"/>
      <w:r w:rsidR="00FB629C">
        <w:rPr>
          <w:rFonts w:ascii="Arial" w:eastAsia="Arial" w:hAnsi="Arial" w:cs="Arial"/>
          <w:b/>
          <w:bCs/>
          <w:color w:val="EE0000"/>
          <w:sz w:val="22"/>
          <w:szCs w:val="22"/>
          <w:u w:val="single"/>
          <w:vertAlign w:val="superscript"/>
        </w:rPr>
        <w:t>,</w:t>
      </w:r>
      <w:r w:rsidR="00FB629C" w:rsidRPr="00FB629C">
        <w:rPr>
          <w:rFonts w:ascii="Arial" w:eastAsia="Arial" w:hAnsi="Arial" w:cs="Arial"/>
          <w:color w:val="EE0000"/>
          <w:sz w:val="22"/>
          <w:szCs w:val="22"/>
        </w:rPr>
        <w:t> </w:t>
      </w:r>
      <w:r w:rsidR="00FB629C">
        <w:rPr>
          <w:rFonts w:ascii="Arial" w:eastAsia="Arial" w:hAnsi="Arial" w:cs="Arial"/>
          <w:color w:val="EE0000"/>
          <w:sz w:val="22"/>
          <w:szCs w:val="22"/>
        </w:rPr>
        <w:t>,</w:t>
      </w:r>
      <w:proofErr w:type="gramEnd"/>
      <w:r w:rsidR="00FB629C">
        <w:rPr>
          <w:rFonts w:ascii="Arial" w:eastAsia="Arial" w:hAnsi="Arial" w:cs="Arial"/>
          <w:color w:val="EE0000"/>
          <w:sz w:val="22"/>
          <w:szCs w:val="22"/>
        </w:rPr>
        <w:t xml:space="preserve"> a</w:t>
      </w:r>
      <w:r w:rsidR="00FB629C" w:rsidRPr="00FB629C">
        <w:rPr>
          <w:rFonts w:ascii="Arial" w:eastAsia="Arial" w:hAnsi="Arial" w:cs="Arial"/>
          <w:color w:val="EE0000"/>
          <w:sz w:val="22"/>
          <w:szCs w:val="22"/>
        </w:rPr>
        <w:t xml:space="preserve"> lei será estruturada em três partes básicas:</w:t>
      </w:r>
    </w:p>
    <w:p w14:paraId="76056120" w14:textId="11210AEF" w:rsidR="00FB629C" w:rsidRPr="00FB629C" w:rsidRDefault="00FB629C" w:rsidP="00FB629C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I - </w:t>
      </w:r>
      <w:proofErr w:type="gramStart"/>
      <w:r w:rsidRPr="00FB629C">
        <w:rPr>
          <w:rFonts w:ascii="Arial" w:eastAsia="Arial" w:hAnsi="Arial" w:cs="Arial"/>
          <w:color w:val="EE0000"/>
          <w:sz w:val="22"/>
          <w:szCs w:val="22"/>
        </w:rPr>
        <w:t>parte</w:t>
      </w:r>
      <w:proofErr w:type="gramEnd"/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 preliminar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[...]</w:t>
      </w:r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, </w:t>
      </w:r>
    </w:p>
    <w:p w14:paraId="476C03CF" w14:textId="7274F9A1" w:rsidR="00FB629C" w:rsidRPr="00FB629C" w:rsidRDefault="00FB629C" w:rsidP="00FB629C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II - </w:t>
      </w:r>
      <w:proofErr w:type="gramStart"/>
      <w:r w:rsidRPr="00FB629C">
        <w:rPr>
          <w:rFonts w:ascii="Arial" w:eastAsia="Arial" w:hAnsi="Arial" w:cs="Arial"/>
          <w:color w:val="EE0000"/>
          <w:sz w:val="22"/>
          <w:szCs w:val="22"/>
        </w:rPr>
        <w:t>parte</w:t>
      </w:r>
      <w:proofErr w:type="gramEnd"/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 normativa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[...]</w:t>
      </w:r>
      <w:r w:rsidRPr="00FB629C">
        <w:rPr>
          <w:rFonts w:ascii="Arial" w:eastAsia="Arial" w:hAnsi="Arial" w:cs="Arial"/>
          <w:color w:val="EE0000"/>
          <w:sz w:val="22"/>
          <w:szCs w:val="22"/>
        </w:rPr>
        <w:t>;</w:t>
      </w:r>
    </w:p>
    <w:p w14:paraId="15DAE75B" w14:textId="77777777" w:rsidR="00FB629C" w:rsidRDefault="00FB629C" w:rsidP="00FB629C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FB629C">
        <w:rPr>
          <w:rFonts w:ascii="Arial" w:eastAsia="Arial" w:hAnsi="Arial" w:cs="Arial"/>
          <w:color w:val="EE0000"/>
          <w:sz w:val="22"/>
          <w:szCs w:val="22"/>
        </w:rPr>
        <w:t xml:space="preserve">III - parte final, compreendendo as disposições pertinentes às medidas necessárias à implementação das normas de conteúdo substantivo, às </w:t>
      </w:r>
      <w:r w:rsidRPr="00FB629C">
        <w:rPr>
          <w:rFonts w:ascii="Arial" w:eastAsia="Arial" w:hAnsi="Arial" w:cs="Arial"/>
          <w:b/>
          <w:bCs/>
          <w:color w:val="7030A0"/>
          <w:sz w:val="22"/>
          <w:szCs w:val="22"/>
        </w:rPr>
        <w:t>disposições transitórias</w:t>
      </w:r>
      <w:r w:rsidRPr="00FB629C">
        <w:rPr>
          <w:rFonts w:ascii="Arial" w:eastAsia="Arial" w:hAnsi="Arial" w:cs="Arial"/>
          <w:color w:val="EE0000"/>
          <w:sz w:val="22"/>
          <w:szCs w:val="22"/>
        </w:rPr>
        <w:t>, se for o caso, a cláusula de vigência e a cláusula de revogação, quando couber.</w:t>
      </w:r>
    </w:p>
    <w:p w14:paraId="76B24B6D" w14:textId="77777777" w:rsidR="00FB629C" w:rsidRDefault="00FB629C" w:rsidP="00FB629C">
      <w:pPr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bookmarkEnd w:id="0"/>
    <w:p w14:paraId="58989D2B" w14:textId="77777777" w:rsidR="00F6680E" w:rsidRDefault="00F6680E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BA2CBA7" w14:textId="77777777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commentRangeStart w:id="6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Parágrafo </w:t>
      </w:r>
      <w:commentRangeEnd w:id="6"/>
      <w:r>
        <w:commentReference w:id="6"/>
      </w:r>
      <w:r w:rsidRPr="4A0C5390">
        <w:rPr>
          <w:rFonts w:ascii="Arial" w:eastAsia="Arial" w:hAnsi="Arial" w:cs="Arial"/>
          <w:color w:val="242424"/>
          <w:sz w:val="22"/>
          <w:szCs w:val="22"/>
        </w:rPr>
        <w:t>único. Nos imóveis rurais com até 15 (quinze) módulos fiscais, é admitida, nas áreas que tratam os incisos I e II do art. 4° da Lei n° 12.651/2012, a prática da aquicultura e a infraestrutura física diretamente a ela associada, desde que:</w:t>
      </w:r>
    </w:p>
    <w:p w14:paraId="111BA2D3" w14:textId="77777777" w:rsidR="00FB629C" w:rsidRDefault="00FB629C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487805DB" w14:textId="5B8D7CD2" w:rsidR="00FB629C" w:rsidRDefault="00FB629C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00F6680E">
        <w:rPr>
          <w:rFonts w:ascii="Arial" w:eastAsia="Arial" w:hAnsi="Arial" w:cs="Arial"/>
          <w:color w:val="EE0000"/>
          <w:sz w:val="22"/>
          <w:szCs w:val="22"/>
        </w:rPr>
        <w:t>Contribuição (Roberta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Lopes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 xml:space="preserve"> – SEMACE/CE): </w:t>
      </w:r>
      <w:r>
        <w:rPr>
          <w:rFonts w:ascii="Arial" w:eastAsia="Arial" w:hAnsi="Arial" w:cs="Arial"/>
          <w:color w:val="EE0000"/>
          <w:sz w:val="22"/>
          <w:szCs w:val="22"/>
        </w:rPr>
        <w:t>Considera-se que a norma acima deve fazer parte de outro artigo e não de um parágrafo, pois não representa um desdobramento da norma inserida no art. 2º.</w:t>
      </w:r>
    </w:p>
    <w:p w14:paraId="2F6BC473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45C3024" w14:textId="03687558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lastRenderedPageBreak/>
        <w:t>I - Sejam adotadas práticas sustentáveis de manejo de solo e água e de recursos hídricos, garantindo sua qualidade e quantidade, de acordo com norma</w:t>
      </w:r>
      <w:r w:rsidR="009B50D9">
        <w:rPr>
          <w:rFonts w:ascii="Arial" w:eastAsia="Arial" w:hAnsi="Arial" w:cs="Arial"/>
          <w:color w:val="242424"/>
          <w:sz w:val="22"/>
          <w:szCs w:val="22"/>
        </w:rPr>
        <w:t>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dos Conselhos Estaduais de Meio Ambiente;</w:t>
      </w:r>
    </w:p>
    <w:p w14:paraId="6FAFB00A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42015D1A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II - Esteja de acordo com os respectivos planos de bacia ou planos de gestão de recursos hídricos;</w:t>
      </w:r>
    </w:p>
    <w:p w14:paraId="495D96D2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266FD11B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III - Seja realizado o licenciamento pelo órgão ambiental competente;</w:t>
      </w:r>
    </w:p>
    <w:p w14:paraId="2AB5B1FB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779B45E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IV - O imóvel esteja inscrito no Cadastro Ambiental Rural – CAR;</w:t>
      </w:r>
    </w:p>
    <w:p w14:paraId="330926E2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1257071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V - Não implique novas supressões de vegetação nativa.</w:t>
      </w:r>
    </w:p>
    <w:p w14:paraId="14574558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30BED7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3º Para efeito desta Resolução são adotados os seguintes conceitos:</w:t>
      </w:r>
    </w:p>
    <w:p w14:paraId="2BA2429E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I - Aquicultura: o cultivo ou a criação de organismos cujo ciclo de vida, em condições naturais, ocorre total ou parcialmente em meio aquático;</w:t>
      </w:r>
    </w:p>
    <w:p w14:paraId="0AE268D0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II - Área aquícola: espaço físico contínuo em corpos d’água, delimitado, destinado a projetos de aquicultura, individuais ou coletivos, podendo ser de interesse econômico, social, de pesquisa ou extensão;</w:t>
      </w:r>
    </w:p>
    <w:p w14:paraId="2ADBBCFE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III - Formas jovens: alevinos, </w:t>
      </w:r>
      <w:r>
        <w:rPr>
          <w:rFonts w:ascii="Arial" w:eastAsia="Arial" w:hAnsi="Arial" w:cs="Arial"/>
          <w:color w:val="000000"/>
          <w:sz w:val="22"/>
          <w:szCs w:val="22"/>
        </w:rPr>
        <w:t>juvenis,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girinos, imagos, larvas, mudas de algas marinhas, </w:t>
      </w: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náuplios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, ovos, pós-larvas e sementes de moluscos bivalves e outros invertebrados </w:t>
      </w:r>
      <w:r>
        <w:rPr>
          <w:rFonts w:ascii="Arial" w:eastAsia="Arial" w:hAnsi="Arial" w:cs="Arial"/>
          <w:color w:val="000000"/>
          <w:sz w:val="22"/>
          <w:szCs w:val="22"/>
        </w:rPr>
        <w:t>aquáticos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destinados ao cultivo ou à criação</w:t>
      </w:r>
      <w:r>
        <w:rPr>
          <w:rFonts w:ascii="Arial" w:eastAsia="Arial" w:hAnsi="Arial" w:cs="Arial"/>
          <w:color w:val="3A7D22"/>
          <w:sz w:val="22"/>
          <w:szCs w:val="22"/>
        </w:rPr>
        <w:t>;</w:t>
      </w:r>
    </w:p>
    <w:p w14:paraId="4AEE3669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>IV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- Espécies ornamentais: uso de organismos aquáticos vivos ou não, para fins decorativos, ilustrativos ou estéticos;</w:t>
      </w:r>
    </w:p>
    <w:p w14:paraId="2FAA47B1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 - Parque Aquícola: espaço físico delimitado em meio aquático, que compreende um conjunto de áreas aquícolas afins, em cujos espaços físicos intermediários podem ser desenvolvidas outras atividades compatíveis com a prática da aquicultura;</w:t>
      </w:r>
    </w:p>
    <w:p w14:paraId="328D1A35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VI - Porte do empreendimento aquícola: classificação dos projetos de aquicultura utilizando como critério a quantidade produzida, com definição de classes correspondentes a pequeno, médio e grande porte;</w:t>
      </w:r>
    </w:p>
    <w:p w14:paraId="14BF4316" w14:textId="47E798F2" w:rsidR="0073520E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commentRangeStart w:id="7"/>
      <w:r w:rsidRPr="4A0C5390">
        <w:rPr>
          <w:rFonts w:ascii="Arial" w:eastAsia="Arial" w:hAnsi="Arial" w:cs="Arial"/>
          <w:color w:val="242424"/>
          <w:sz w:val="22"/>
          <w:szCs w:val="22"/>
        </w:rPr>
        <w:t>VII - Licença por adesão e compromisso: licença que atesta a viabilidade ambiental e autoriza a instalação, a ampliação e a operação de atividade ou empreendimento de baixo impacto, baixo risco e de pequeno porte que observe as condições previstas nesta resolução, mediante declaração de adesão e compromisso do empreendedor aos requisitos estabelecidos pela autoridade licenciadora;</w:t>
      </w:r>
    </w:p>
    <w:p w14:paraId="70B87C59" w14:textId="77777777" w:rsidR="0073520E" w:rsidRPr="00EF1954" w:rsidRDefault="0073520E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Contribuição (Roberta Lopes – SEMACE/CE): Redação trazida pela Lei 15.090, de 08 de agosto de 2025:</w:t>
      </w:r>
    </w:p>
    <w:p w14:paraId="15A31DD9" w14:textId="79EA2C60" w:rsidR="0073520E" w:rsidRPr="00EF1954" w:rsidRDefault="0073520E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lastRenderedPageBreak/>
        <w:t>XXVII - Licença Ambiental por Adesão e Compromisso (LAC): licença que atesta a viabilidade da instalação, da ampliação e da operação de atividade ou de empreendimento que observe as condições previstas nesta Lei, mediante declaração de adesão e compromisso do empreendedor com os requisitos preestabelecidos pela autoridade licenciadora;</w:t>
      </w:r>
    </w:p>
    <w:p w14:paraId="493784D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VIII – Licença Ambiental Simplificada (LAS): é concedida antes de iniciar-se a implantação do empreendimento ou atividade e, em uma única fase, atesta a viabilidade ambiental, aprova a localização e autoriza a implantação e a operação de empreendimento ou atividade de médio porte, estabelecendo as condições e medidas de controle ambiental que deverão ser atendidas.</w:t>
      </w:r>
    </w:p>
    <w:p w14:paraId="2601AAFF" w14:textId="2E0C972C" w:rsidR="00EF1954" w:rsidRDefault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Contribuição (Roberta Lopes – SEMACE/CE): Redação trazida pela Lei 15.090, de 08 de agosto de 2025: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Não estabelece esse tipo de licença ambiental, mas sim o procedimento simplificado, a saber:</w:t>
      </w:r>
    </w:p>
    <w:p w14:paraId="033D5499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Art. 18. O licenciamento ambiental pode ocorrer:</w:t>
      </w:r>
    </w:p>
    <w:p w14:paraId="62E32E0C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 xml:space="preserve">I - </w:t>
      </w:r>
      <w:proofErr w:type="gramStart"/>
      <w:r w:rsidRPr="00EF1954">
        <w:rPr>
          <w:rFonts w:ascii="Arial" w:eastAsia="Arial" w:hAnsi="Arial" w:cs="Arial"/>
          <w:color w:val="EE0000"/>
          <w:sz w:val="22"/>
          <w:szCs w:val="22"/>
        </w:rPr>
        <w:t>pelo</w:t>
      </w:r>
      <w:proofErr w:type="gramEnd"/>
      <w:r w:rsidRPr="00EF1954">
        <w:rPr>
          <w:rFonts w:ascii="Arial" w:eastAsia="Arial" w:hAnsi="Arial" w:cs="Arial"/>
          <w:color w:val="EE0000"/>
          <w:sz w:val="22"/>
          <w:szCs w:val="22"/>
        </w:rPr>
        <w:t xml:space="preserve"> procedimento ordinário, na modalidade trifásica;</w:t>
      </w:r>
    </w:p>
    <w:p w14:paraId="406A729B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 xml:space="preserve">II - </w:t>
      </w:r>
      <w:proofErr w:type="gramStart"/>
      <w:r w:rsidRPr="00EF1954">
        <w:rPr>
          <w:rFonts w:ascii="Arial" w:eastAsia="Arial" w:hAnsi="Arial" w:cs="Arial"/>
          <w:b/>
          <w:bCs/>
          <w:color w:val="EE0000"/>
          <w:sz w:val="22"/>
          <w:szCs w:val="22"/>
        </w:rPr>
        <w:t>pelo</w:t>
      </w:r>
      <w:proofErr w:type="gramEnd"/>
      <w:r w:rsidRPr="00EF1954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 procedimento simplificado</w:t>
      </w:r>
      <w:r w:rsidRPr="00EF1954">
        <w:rPr>
          <w:rFonts w:ascii="Arial" w:eastAsia="Arial" w:hAnsi="Arial" w:cs="Arial"/>
          <w:color w:val="EE0000"/>
          <w:sz w:val="22"/>
          <w:szCs w:val="22"/>
        </w:rPr>
        <w:t>, nas modalidades:</w:t>
      </w:r>
    </w:p>
    <w:p w14:paraId="4EBB7288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a) bifásica;</w:t>
      </w:r>
    </w:p>
    <w:p w14:paraId="0825BD87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b) fase única; ou</w:t>
      </w:r>
    </w:p>
    <w:p w14:paraId="2AE489A9" w14:textId="77777777" w:rsidR="00EF1954" w:rsidRPr="00EF1954" w:rsidRDefault="00EF1954" w:rsidP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c) por adesão e compromisso;</w:t>
      </w:r>
    </w:p>
    <w:p w14:paraId="71F0657A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IX - Licenciamento Ambiental Ordinário: trifásico, se aplica a </w:t>
      </w: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empreendimentos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 ou atividades utilizadoras dos recursos ambientais considerados efetiva ou potencialmente poluidores ou aqueles que, sob qualquer forma, possam causar degradação ambiental.</w:t>
      </w:r>
    </w:p>
    <w:p w14:paraId="6C05E78B" w14:textId="3CEFB1E4" w:rsidR="00EF1954" w:rsidRPr="00EF1954" w:rsidRDefault="00EF1954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Contribuição (Roberta Lopes – SEMACE/CE): Redação trazida pela Lei 15.090, de 08 de agosto de 2025: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 w:rsidRPr="00EF1954">
        <w:rPr>
          <w:rFonts w:ascii="Arial" w:eastAsia="Arial" w:hAnsi="Arial" w:cs="Arial"/>
          <w:color w:val="EE0000"/>
          <w:sz w:val="22"/>
          <w:szCs w:val="22"/>
        </w:rPr>
        <w:t>Art. 19. O licenciamento ambiental ordinário pela modalidade trifásica envolve a emissão sequencial de LP, de LI e de LO.</w:t>
      </w:r>
    </w:p>
    <w:p w14:paraId="2E71E1B2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t>X - Licença Única (LU): substitui os procedimentos administrativos ordinários do licenciamento prévio, de instalação e operação do empreendimento ou atividade, unificando-os na emissão de uma única licença, exigindo-se as devidas condições e medidas de controle ambiental.</w:t>
      </w:r>
      <w:commentRangeEnd w:id="7"/>
      <w:r>
        <w:commentReference w:id="7"/>
      </w:r>
    </w:p>
    <w:p w14:paraId="48F1C6B3" w14:textId="77777777" w:rsidR="00AF6D82" w:rsidRDefault="00AF6D82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EF1954">
        <w:rPr>
          <w:rFonts w:ascii="Arial" w:eastAsia="Arial" w:hAnsi="Arial" w:cs="Arial"/>
          <w:color w:val="EE0000"/>
          <w:sz w:val="22"/>
          <w:szCs w:val="22"/>
        </w:rPr>
        <w:t>Contribuição (Roberta Lopes – SEMACE/CE): Redação trazida pela Lei 15.090, de 08 de agosto de 2025: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</w:t>
      </w:r>
    </w:p>
    <w:p w14:paraId="5720C6E0" w14:textId="663CE388" w:rsidR="00AF6D82" w:rsidRPr="00AF6D82" w:rsidRDefault="00AF6D82">
      <w:pPr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AF6D82">
        <w:rPr>
          <w:rFonts w:ascii="Arial" w:eastAsia="Arial" w:hAnsi="Arial" w:cs="Arial"/>
          <w:color w:val="EE0000"/>
          <w:sz w:val="22"/>
          <w:szCs w:val="22"/>
        </w:rPr>
        <w:lastRenderedPageBreak/>
        <w:t>XXVIII - Licença Ambiental Única (LAU): licença que, em uma única etapa, atesta a viabilidade da instalação, da ampliação e da operação de atividade ou de empreendimento, aprova as ações de controle e monitoramento ambiental e estabelece condicionantes ambientais para a sua instalação e operação e, quando necessário, para a sua desativação;</w:t>
      </w:r>
    </w:p>
    <w:p w14:paraId="61EC448D" w14:textId="2255F83B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XI - Licença de Instalação e de Operação (LIO): substitui os procedimentos administrativos do licenciamento de instalação e do licenciamento de operação ordinários, unificando-os. Através da LIO o órgão ambiental autoriza, em uma única fase, a instalação e a operação de atividade ou empreendimento. Deve ser solicitada antes de iniciar-se a implantação do empreendimento ou atividade, estando sua concessão condicionada às medidas e condições de controle ambiental estabelecidas pelo órgão ambiental.</w:t>
      </w:r>
    </w:p>
    <w:p w14:paraId="400EBBBA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XII - Licença Prévia e de Instalação (LPI): substitui os procedimentos administrativos do licenciamento prévio e do licenciamento de instalação ordinários, unificando-os. Antes de iniciar-se a implantação do empreendimento ou atividade, em uma única fase o órgão ambiental atesta a viabilidade ambiental e autoriza a instalação da atividade ou empreendimento, estabelecendo as condições e medidas de controle ambiental necessárias. Geralmente será concedida quando a análise de viabilidade ambiental não depender de estudos ambientais, podendo ocorrer simultaneamente à análise dos projetos de implantação.</w:t>
      </w:r>
    </w:p>
    <w:p w14:paraId="104494A2" w14:textId="18E04D12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XIII </w:t>
      </w:r>
      <w:r>
        <w:rPr>
          <w:rFonts w:ascii="Arial" w:eastAsia="Arial" w:hAnsi="Arial" w:cs="Arial"/>
          <w:sz w:val="22"/>
          <w:szCs w:val="22"/>
        </w:rPr>
        <w:t xml:space="preserve">- Sistema de Produção Semiaberto: sistema em que há controle das espécies, mas não há controle do fluxo de água, tais como: </w:t>
      </w:r>
      <w:r w:rsidR="00D57760">
        <w:rPr>
          <w:rFonts w:ascii="Arial" w:eastAsia="Arial" w:hAnsi="Arial" w:cs="Arial"/>
          <w:sz w:val="22"/>
          <w:szCs w:val="22"/>
        </w:rPr>
        <w:t xml:space="preserve">produção </w:t>
      </w:r>
      <w:r>
        <w:rPr>
          <w:rFonts w:ascii="Arial" w:eastAsia="Arial" w:hAnsi="Arial" w:cs="Arial"/>
          <w:sz w:val="22"/>
          <w:szCs w:val="22"/>
        </w:rPr>
        <w:t>de moluscos bivalves em lanternas, tanque rede, gaiolas;</w:t>
      </w:r>
    </w:p>
    <w:p w14:paraId="3206B7F6" w14:textId="1072E105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XIV - Sistema de Produção Semifechado: sistema em que há controle</w:t>
      </w:r>
      <w:r w:rsidR="00D57760">
        <w:rPr>
          <w:rFonts w:ascii="Arial" w:eastAsia="Arial" w:hAnsi="Arial" w:cs="Arial"/>
          <w:sz w:val="22"/>
          <w:szCs w:val="22"/>
        </w:rPr>
        <w:t xml:space="preserve"> das espécies</w:t>
      </w:r>
      <w:r>
        <w:rPr>
          <w:rFonts w:ascii="Arial" w:eastAsia="Arial" w:hAnsi="Arial" w:cs="Arial"/>
          <w:sz w:val="22"/>
          <w:szCs w:val="22"/>
        </w:rPr>
        <w:t>, e algum controle do fluxo de água, tais como: viveiro-escavado, tanque edificado (revestido), açudes ou sistema de fluxo contínuo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raceways</w:t>
      </w:r>
      <w:proofErr w:type="spellEnd"/>
      <w:r>
        <w:rPr>
          <w:rFonts w:ascii="Arial" w:eastAsia="Arial" w:hAnsi="Arial" w:cs="Arial"/>
          <w:sz w:val="22"/>
          <w:szCs w:val="22"/>
        </w:rPr>
        <w:t>);</w:t>
      </w:r>
    </w:p>
    <w:p w14:paraId="46CC192E" w14:textId="6BE66D77" w:rsidR="00812EE0" w:rsidRDefault="71ABC6FB">
      <w:pPr>
        <w:jc w:val="both"/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sz w:val="22"/>
          <w:szCs w:val="22"/>
        </w:rPr>
        <w:t>XV</w:t>
      </w:r>
      <w:r w:rsidR="004D36D4" w:rsidRPr="7101E4B9">
        <w:rPr>
          <w:rFonts w:ascii="Arial" w:eastAsia="Arial" w:hAnsi="Arial" w:cs="Arial"/>
          <w:sz w:val="22"/>
          <w:szCs w:val="22"/>
        </w:rPr>
        <w:t xml:space="preserve"> - Sistema de Produção Fechado: sistema em que há controle tanto das espécies quanto do fluxo de água, tais como: aquários ou outros cultivos com recirculação total da água;</w:t>
      </w:r>
    </w:p>
    <w:p w14:paraId="107BF8F1" w14:textId="0B2CDB1D" w:rsidR="00AD58BE" w:rsidRDefault="383773FE">
      <w:pPr>
        <w:jc w:val="both"/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sz w:val="22"/>
          <w:szCs w:val="22"/>
        </w:rPr>
        <w:t>XVI</w:t>
      </w:r>
      <w:r w:rsidR="00AD58BE" w:rsidRPr="7101E4B9">
        <w:rPr>
          <w:rFonts w:ascii="Arial" w:eastAsia="Arial" w:hAnsi="Arial" w:cs="Arial"/>
          <w:sz w:val="22"/>
          <w:szCs w:val="22"/>
        </w:rPr>
        <w:t>- Sistema de Cultivo Integrado (</w:t>
      </w:r>
      <w:proofErr w:type="spellStart"/>
      <w:r w:rsidR="00AD58BE" w:rsidRPr="7101E4B9">
        <w:rPr>
          <w:rFonts w:ascii="Arial" w:eastAsia="Arial" w:hAnsi="Arial" w:cs="Arial"/>
          <w:sz w:val="22"/>
          <w:szCs w:val="22"/>
        </w:rPr>
        <w:t>multitróﬁco</w:t>
      </w:r>
      <w:proofErr w:type="spellEnd"/>
      <w:r w:rsidR="00AD58BE" w:rsidRPr="7101E4B9">
        <w:rPr>
          <w:rFonts w:ascii="Arial" w:eastAsia="Arial" w:hAnsi="Arial" w:cs="Arial"/>
          <w:sz w:val="22"/>
          <w:szCs w:val="22"/>
        </w:rPr>
        <w:t xml:space="preserve">) ou Consorciado: Modalidade de produção de organismos aquáticos em que o resíduo e/ou </w:t>
      </w:r>
      <w:proofErr w:type="spellStart"/>
      <w:r w:rsidR="00AD58BE" w:rsidRPr="7101E4B9">
        <w:rPr>
          <w:rFonts w:ascii="Arial" w:eastAsia="Arial" w:hAnsi="Arial" w:cs="Arial"/>
          <w:sz w:val="22"/>
          <w:szCs w:val="22"/>
        </w:rPr>
        <w:t>eﬂuente</w:t>
      </w:r>
      <w:proofErr w:type="spellEnd"/>
      <w:r w:rsidR="00AD58BE" w:rsidRPr="7101E4B9">
        <w:rPr>
          <w:rFonts w:ascii="Arial" w:eastAsia="Arial" w:hAnsi="Arial" w:cs="Arial"/>
          <w:sz w:val="22"/>
          <w:szCs w:val="22"/>
        </w:rPr>
        <w:t xml:space="preserve"> do cultivo de uma espécie, inclusive de animais de granja, é reutilizada no próprio sistema ou em outro(s) sistema(s) de produção agrícola ou aquícola reduzindo ou eliminando a carga orgânica ou inorgânica para o ambiente;</w:t>
      </w:r>
    </w:p>
    <w:p w14:paraId="1EEED81F" w14:textId="408EA141" w:rsidR="00812EE0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X</w:t>
      </w:r>
      <w:r w:rsidR="4D2A8F46" w:rsidRPr="7101E4B9">
        <w:rPr>
          <w:rFonts w:ascii="Arial" w:eastAsia="Arial" w:hAnsi="Arial" w:cs="Arial"/>
          <w:color w:val="242424"/>
          <w:sz w:val="22"/>
          <w:szCs w:val="22"/>
        </w:rPr>
        <w:t>VII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- Manejo aquícola: intervenções realizadas pelo produtor (a) durante a criação de organismos aquáticos que visam otimizar a produção, a rentabilidade, ou sustentabilidade de maneira compatível com o desenvolvimento sustentável (i.e. objetivos sociais, econômicos, ambientais e de governança), possibilitando a oferta de produtos seguros ao consumidor;</w:t>
      </w:r>
    </w:p>
    <w:p w14:paraId="2D9B1E5B" w14:textId="4221B2E6" w:rsidR="518B585D" w:rsidRDefault="518B585D" w:rsidP="7129F6FD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29F6FD">
        <w:rPr>
          <w:rFonts w:ascii="Arial" w:eastAsia="Arial" w:hAnsi="Arial" w:cs="Arial"/>
          <w:color w:val="242424"/>
          <w:sz w:val="22"/>
          <w:szCs w:val="22"/>
          <w:highlight w:val="yellow"/>
        </w:rPr>
        <w:lastRenderedPageBreak/>
        <w:t>XXX – Adensamento</w:t>
      </w:r>
      <w:r w:rsidRPr="7129F6FD">
        <w:rPr>
          <w:rFonts w:ascii="Arial" w:eastAsia="Arial" w:hAnsi="Arial" w:cs="Arial"/>
          <w:color w:val="242424"/>
          <w:sz w:val="22"/>
          <w:szCs w:val="22"/>
        </w:rPr>
        <w:t>:</w:t>
      </w:r>
      <w:r w:rsidR="284847F5" w:rsidRPr="7129F6FD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="284847F5" w:rsidRPr="7129F6FD">
        <w:rPr>
          <w:rFonts w:ascii="Arial" w:eastAsia="Arial" w:hAnsi="Arial" w:cs="Arial"/>
          <w:sz w:val="22"/>
          <w:szCs w:val="22"/>
          <w:highlight w:val="yellow"/>
        </w:rPr>
        <w:t>concentração racional e planejada de unidades produtivas (como tanques-rede, viveiros escavados ou estruturas suspensas) em áreas previamente definidas, com o objetivo de aumentar a eficiência produtiva, reduzir impactos ambientais difusos e melhorar a gestão coletiva de recursos.</w:t>
      </w:r>
    </w:p>
    <w:p w14:paraId="4BE5F201" w14:textId="37F87B22" w:rsidR="00812EE0" w:rsidRDefault="4A2665F7">
      <w:pPr>
        <w:rPr>
          <w:rFonts w:ascii="Arial" w:eastAsia="Arial" w:hAnsi="Arial" w:cs="Arial"/>
          <w:color w:val="000000"/>
          <w:sz w:val="22"/>
          <w:szCs w:val="22"/>
        </w:rPr>
      </w:pPr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t>XVIII</w:t>
      </w:r>
      <w:r w:rsidR="00AD58BE"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- Áreas de Preservação Permanente - APP: 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humanas; definidas pela Lei Federal nº 12.651, de 25 de maio de 2012 e suas alterações posteriores; </w:t>
      </w:r>
    </w:p>
    <w:p w14:paraId="4F81FAE9" w14:textId="6C12E2C1" w:rsidR="00812EE0" w:rsidRDefault="004D36D4">
      <w:pPr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XI</w:t>
      </w:r>
      <w:r w:rsidR="61241F2A" w:rsidRPr="7101E4B9">
        <w:rPr>
          <w:rFonts w:ascii="Arial" w:eastAsia="Arial" w:hAnsi="Arial" w:cs="Arial"/>
          <w:color w:val="242424"/>
          <w:sz w:val="22"/>
          <w:szCs w:val="22"/>
        </w:rPr>
        <w:t>V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- Unidade Geográfica Referencial - UGR: a área abrangida por uma região hidrográfica, ou no caso de águas marinhas e estuarinas, faixas de águas litorâneas compreendidas entre dois pontos da costa brasileira, listadas abaixo:</w:t>
      </w:r>
    </w:p>
    <w:p w14:paraId="4883A1B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a) UGR de águas continentais, as regiões hidrográficas definidas na Resolução do Conselho Nacional de Recursos Hídricos - CNRH nº 32, de 15 de outubro de 2003, listadas abaixo:</w:t>
      </w:r>
    </w:p>
    <w:p w14:paraId="7CE01151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1. Região Hidrográfica Amazônica</w:t>
      </w:r>
    </w:p>
    <w:p w14:paraId="3B054BD5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2. Região Hidrográfica do Tocantins-Araguaia</w:t>
      </w:r>
    </w:p>
    <w:p w14:paraId="553B0A83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3. Região Hidrográfica Atlântico Nordeste Ocidental</w:t>
      </w:r>
    </w:p>
    <w:p w14:paraId="550F1F27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4. Região Hidrográfica do Parnaíba</w:t>
      </w:r>
    </w:p>
    <w:p w14:paraId="402AF3A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5. Região Hidrográfica Atlântico Nordeste Oriental</w:t>
      </w:r>
    </w:p>
    <w:p w14:paraId="4AD261BA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6. Região Hidrográfica do Rio São Francisco</w:t>
      </w:r>
    </w:p>
    <w:p w14:paraId="03FBF36B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7. Região Hidrográfica Atlântico Leste</w:t>
      </w:r>
    </w:p>
    <w:p w14:paraId="73B5F0FD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8. Região Hidrográfica Atlântico Sudeste</w:t>
      </w:r>
    </w:p>
    <w:p w14:paraId="25EAFEB1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9. Região Hidrográfica Atlântico Sul</w:t>
      </w:r>
    </w:p>
    <w:p w14:paraId="43398B9E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10. Região Hidrográfica do Uruguai</w:t>
      </w:r>
    </w:p>
    <w:p w14:paraId="11ADF28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11. Região Hidrográfica do Paraná</w:t>
      </w:r>
    </w:p>
    <w:p w14:paraId="593E25D8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12. Região Hidrográfica do Paraguai</w:t>
      </w:r>
    </w:p>
    <w:p w14:paraId="403EB286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lastRenderedPageBreak/>
        <w:t>b) UGR de águas estuarinas e marinhas brasileiras:</w:t>
      </w:r>
    </w:p>
    <w:p w14:paraId="40539D77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1. Norte - do Estado do Amapá até Cabo Frio (lat. 22° 52’ 46’’ - long. 42° 01’ 07’’), no Estado do Rio de Janeiro;</w:t>
      </w:r>
    </w:p>
    <w:p w14:paraId="62CCAF73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2. Sul - de Cabo Frio (lat. 22° 52’ 46’’ - long. 42° 01’ 07’’), no Estado do Rio de Janeiro, até o Estado do Rio Grande do Sul.</w:t>
      </w:r>
    </w:p>
    <w:p w14:paraId="6173CB15" w14:textId="01A16CB2" w:rsidR="00812EE0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bookmarkStart w:id="8" w:name="_omktq8ns1q09" w:colFirst="0" w:colLast="0"/>
      <w:bookmarkEnd w:id="8"/>
      <w:r>
        <w:rPr>
          <w:rFonts w:ascii="Arial" w:eastAsia="Arial" w:hAnsi="Arial" w:cs="Arial"/>
          <w:color w:val="242424"/>
          <w:sz w:val="22"/>
          <w:szCs w:val="22"/>
        </w:rPr>
        <w:t>Parágrafo único</w:t>
      </w:r>
      <w:r w:rsidR="00AD58BE">
        <w:rPr>
          <w:rFonts w:ascii="Arial" w:eastAsia="Arial" w:hAnsi="Arial" w:cs="Arial"/>
          <w:color w:val="242424"/>
          <w:sz w:val="22"/>
          <w:szCs w:val="22"/>
        </w:rPr>
        <w:t>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órgão ambiental competente definirá, no âmbito do processo de Licenciamento Ambiental Ordinário, a possibilidade de serem adotadas as licenças LU, LIO ou LPI observadas a natureza, características e peculiaridades da atividade ou empreendimento de grande porte e a compatibilização do processo de licenciamento com as etapas de planejamento, implantação e operação. </w:t>
      </w:r>
    </w:p>
    <w:p w14:paraId="589B6871" w14:textId="6560408D" w:rsidR="00AD58BE" w:rsidRPr="00AD58BE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4</w:t>
      </w:r>
      <w:r>
        <w:rPr>
          <w:rFonts w:ascii="Arial" w:eastAsia="Arial" w:hAnsi="Arial" w:cs="Arial"/>
          <w:color w:val="242424"/>
          <w:sz w:val="22"/>
          <w:szCs w:val="22"/>
          <w:vertAlign w:val="superscript"/>
        </w:rPr>
        <w:t>o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Porte dos Empreendimentos Aquícolas será definido de acordo com a quantidade produzida, para cada atividade, conforme tabela</w:t>
      </w:r>
      <w:r w:rsidR="00AD58BE">
        <w:rPr>
          <w:rFonts w:ascii="Arial" w:eastAsia="Arial" w:hAnsi="Arial" w:cs="Arial"/>
          <w:color w:val="242424"/>
          <w:sz w:val="22"/>
          <w:szCs w:val="22"/>
        </w:rPr>
        <w:t>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1</w:t>
      </w:r>
      <w:r w:rsidR="00AD58BE">
        <w:rPr>
          <w:rFonts w:ascii="Arial" w:eastAsia="Arial" w:hAnsi="Arial" w:cs="Arial"/>
          <w:color w:val="242424"/>
          <w:sz w:val="22"/>
          <w:szCs w:val="22"/>
        </w:rPr>
        <w:t xml:space="preserve"> e 2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do Anexo I</w:t>
      </w:r>
      <w:r w:rsidR="00AD58BE">
        <w:rPr>
          <w:rFonts w:ascii="Arial" w:eastAsia="Arial" w:hAnsi="Arial" w:cs="Arial"/>
          <w:color w:val="242424"/>
          <w:sz w:val="22"/>
          <w:szCs w:val="22"/>
        </w:rPr>
        <w:t>.</w:t>
      </w:r>
    </w:p>
    <w:p w14:paraId="4788DCA2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5º Para a definição dos procedimentos de licenciamento ambiental, os empreendimentos de aquicultura serão enquadrados em um dos portes definidos nas Tabelas 1 e 2 do Anexo I desta Resolução.</w:t>
      </w:r>
    </w:p>
    <w:p w14:paraId="688513F5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§ 1º Os procedimentos de licenciamento ambiental são diferenciados em relação ao porte.</w:t>
      </w:r>
    </w:p>
    <w:p w14:paraId="545B876D" w14:textId="77777777" w:rsidR="00812EE0" w:rsidRDefault="004D36D4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2º Nos empreendimentos aquícolas com o cultivo de várias espécies prevalecerá, para fins de enquadramento na tabela de que trata o caput, o caso mais restritivo em termos ambientais. </w:t>
      </w:r>
    </w:p>
    <w:p w14:paraId="5667503D" w14:textId="77777777" w:rsidR="00812EE0" w:rsidRDefault="004D36D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commentRangeStart w:id="9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I - Empreendimentos de pequeno porte,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podem realizar o processo de licença por adesão e compromisso, de acordo com o Anexo II; </w:t>
      </w:r>
    </w:p>
    <w:p w14:paraId="547E26B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II - Empreendimentos de médio porte, com a utilização de espécies autorizadas por </w:t>
      </w:r>
      <w:r>
        <w:rPr>
          <w:rFonts w:ascii="Arial" w:eastAsia="Arial" w:hAnsi="Arial" w:cs="Arial"/>
          <w:color w:val="000000"/>
          <w:sz w:val="22"/>
          <w:szCs w:val="22"/>
        </w:rPr>
        <w:t>órgão competente</w:t>
      </w:r>
      <w:r>
        <w:rPr>
          <w:rFonts w:ascii="Arial" w:eastAsia="Arial" w:hAnsi="Arial" w:cs="Arial"/>
          <w:color w:val="242424"/>
          <w:sz w:val="22"/>
          <w:szCs w:val="22"/>
        </w:rPr>
        <w:t>, podem realizar o processo de licenciamento ambiental simplificado, de acordo com o Anexo III;</w:t>
      </w:r>
    </w:p>
    <w:p w14:paraId="06A07D00" w14:textId="77777777" w:rsidR="00812EE0" w:rsidRDefault="004D36D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III - Empreendimentos de grande porte,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podem realizar o processo de licenciamento ambiental por meio de procedimento específico, de acordo com o Anexo IV.</w:t>
      </w:r>
      <w:commentRangeEnd w:id="9"/>
      <w:r>
        <w:commentReference w:id="9"/>
      </w:r>
    </w:p>
    <w:p w14:paraId="55E80ACB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§ 3º Os empreendimentos de grande porte que utilizem sistemas fechados, integrados ou consorciados podem obter o licenciamento ambiental simplificado, de acordo com o Anexo III.</w:t>
      </w:r>
    </w:p>
    <w:p w14:paraId="41F2E483" w14:textId="77777777" w:rsidR="00812EE0" w:rsidRDefault="004D36D4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 - No caso de mortandade dos espécimes cultivados, deverá ser adotado procedimentos de descarte adequados e compatíveis com a biomassa a ser descartada, </w:t>
      </w:r>
      <w:r>
        <w:rPr>
          <w:rFonts w:ascii="Arial" w:eastAsia="Arial" w:hAnsi="Arial" w:cs="Arial"/>
          <w:color w:val="000000"/>
          <w:sz w:val="22"/>
          <w:szCs w:val="22"/>
        </w:rPr>
        <w:t>de acordo com a legislação vigente.</w:t>
      </w:r>
    </w:p>
    <w:p w14:paraId="40062E44" w14:textId="34AA89ED" w:rsidR="001302E2" w:rsidRPr="001302E2" w:rsidRDefault="004D36D4" w:rsidP="7101E4B9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lastRenderedPageBreak/>
        <w:t>§</w:t>
      </w:r>
      <w:commentRangeStart w:id="10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4º Para empre</w:t>
      </w:r>
      <w:commentRangeEnd w:id="10"/>
      <w:r>
        <w:commentReference w:id="10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endimentos de grande porte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a serem instalados diretamente nos corpos hídricos,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, o licenciamento ambiental deverá ser realizado em duas etapas, com emissão de licença prévia e licença de instalação e operação. Para empreendimentos de </w:t>
      </w:r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</w:rPr>
        <w:t>malacocultura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e ou </w:t>
      </w:r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</w:rPr>
        <w:t>algicultura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o licenciamento ambiental deverá ser realizado em uma única etapa, com emissão de uma única licença ambiental. Desde que:</w:t>
      </w:r>
    </w:p>
    <w:p w14:paraId="00292A22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 - Não demandem a construção de novos barramentos de cursos d'água; e</w:t>
      </w:r>
    </w:p>
    <w:p w14:paraId="46421937" w14:textId="26BC98ED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II- Não se encontrem em trechos de corpos d’água onde seja</w:t>
      </w:r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comprovada a contaminação crônica por</w:t>
      </w:r>
      <w:r w:rsidR="001302E2"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302E2" w:rsidRPr="7101E4B9">
        <w:rPr>
          <w:rFonts w:ascii="Arial" w:eastAsia="Arial" w:hAnsi="Arial" w:cs="Arial"/>
          <w:color w:val="000000" w:themeColor="text1"/>
          <w:sz w:val="22"/>
          <w:szCs w:val="22"/>
        </w:rPr>
        <w:t>biotoxinas</w:t>
      </w:r>
      <w:proofErr w:type="spellEnd"/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com concentração acima dos limites previstos na Resolução do CONAMA vigente, que possa </w:t>
      </w:r>
      <w:r w:rsidR="00662939" w:rsidRPr="7101E4B9">
        <w:rPr>
          <w:rFonts w:ascii="Arial" w:eastAsia="Arial" w:hAnsi="Arial" w:cs="Arial"/>
          <w:color w:val="242424"/>
          <w:sz w:val="22"/>
          <w:szCs w:val="22"/>
        </w:rPr>
        <w:t>comprometer</w:t>
      </w:r>
      <w:r w:rsidR="001302E2" w:rsidRPr="7101E4B9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>a qualidade da água bruta destinada ao abastecimento público.</w:t>
      </w:r>
    </w:p>
    <w:p w14:paraId="32E1DA18" w14:textId="0D65DB0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Art. 6º. O licenciamento ambiental de parques aquícolas será efetivado em processo administrativo único e a respectiva licença ambiental englobará todas as áreas aquícolas.</w:t>
      </w:r>
    </w:p>
    <w:p w14:paraId="1D78A6CF" w14:textId="01505F66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commentRangeStart w:id="11"/>
      <w:r w:rsidRPr="4A0C5390">
        <w:rPr>
          <w:rFonts w:ascii="Arial" w:eastAsia="Arial" w:hAnsi="Arial" w:cs="Arial"/>
          <w:color w:val="242424"/>
          <w:sz w:val="22"/>
          <w:szCs w:val="22"/>
        </w:rPr>
        <w:t>Art. 7º. O órgão ambiental</w:t>
      </w:r>
      <w:commentRangeEnd w:id="11"/>
      <w:r>
        <w:commentReference w:id="11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licenciador poderá exigir, no âmbito do processo de licenciamento ambiental, os seguintes documentos expedidos pelo órgão gestor de recursos hídricos:</w:t>
      </w:r>
      <w:r w:rsidR="009B50D9" w:rsidRPr="4A0C5390">
        <w:rPr>
          <w:rFonts w:ascii="Arial" w:eastAsia="Arial" w:hAnsi="Arial" w:cs="Arial"/>
          <w:color w:val="242424"/>
          <w:sz w:val="22"/>
          <w:szCs w:val="22"/>
        </w:rPr>
        <w:t xml:space="preserve"> </w:t>
      </w:r>
    </w:p>
    <w:p w14:paraId="38A40FBE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commentRangeStart w:id="12"/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I - Outorga d</w:t>
      </w:r>
      <w:commentRangeEnd w:id="12"/>
      <w:r>
        <w:commentReference w:id="12"/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e direito de uso de recursos hídricos ou documento equivalente, na fase da licença ambiental de operação ou no licenciamento ambiental por adesão e compromisso, para empreendimentos em base terrestre ou em águas estaduais.</w:t>
      </w:r>
    </w:p>
    <w:p w14:paraId="08FCBCE0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II- Contrato de cessão de uso, na fase da licença ambiental de operação ou no licenciamento ambiental por adesão e compromisso, para empreendimentos em águas da União.</w:t>
      </w:r>
    </w:p>
    <w:p w14:paraId="62E69079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416D84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8º. Para empreendimentos em águas públicas da União, deverá ser apresentada manifestação com relação ao processo de regularização junto ao Ministério da Pesca e Aquicultura.</w:t>
      </w:r>
    </w:p>
    <w:p w14:paraId="6313289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108CED7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9º Na ampliação de empreendimentos de aquicultura, poderão ser solicitadas informações complementares conforme o novo enquadramento do empreendimento.</w:t>
      </w:r>
    </w:p>
    <w:p w14:paraId="79F411D4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235CD872" w14:textId="6DA0CF62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highlight w:val="yellow"/>
        </w:rPr>
      </w:pPr>
      <w:commentRangeStart w:id="13"/>
      <w:proofErr w:type="spellStart"/>
      <w:proofErr w:type="gramStart"/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>Art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 xml:space="preserve">  10</w:t>
      </w:r>
      <w:proofErr w:type="gramEnd"/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>.</w:t>
      </w:r>
      <w:commentRangeEnd w:id="13"/>
      <w:r>
        <w:commentReference w:id="13"/>
      </w:r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 xml:space="preserve"> A licença ambiental somente será concedida quando houver a utilização de espécies permitidas </w:t>
      </w:r>
      <w:r w:rsidR="00445504"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 xml:space="preserve">por </w:t>
      </w:r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>órgão competente.</w:t>
      </w:r>
    </w:p>
    <w:p w14:paraId="3BE84C94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9CEA853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2"/>
          <w:szCs w:val="22"/>
        </w:rPr>
      </w:pPr>
      <w:commentRangeStart w:id="14"/>
      <w:r w:rsidRPr="4A0C5390">
        <w:rPr>
          <w:rFonts w:ascii="Arial" w:eastAsia="Arial" w:hAnsi="Arial" w:cs="Arial"/>
          <w:color w:val="242424"/>
          <w:sz w:val="22"/>
          <w:szCs w:val="22"/>
        </w:rPr>
        <w:t>Art. 11. O a</w:t>
      </w:r>
      <w:commentRangeEnd w:id="14"/>
      <w:r>
        <w:commentReference w:id="14"/>
      </w:r>
      <w:r w:rsidRPr="4A0C5390">
        <w:rPr>
          <w:rFonts w:ascii="Arial" w:eastAsia="Arial" w:hAnsi="Arial" w:cs="Arial"/>
          <w:color w:val="242424"/>
          <w:sz w:val="22"/>
          <w:szCs w:val="22"/>
        </w:rPr>
        <w:t>quicultor é responsável pela comprovação da origem das formas jovens utilizadas nos cultivos.</w:t>
      </w:r>
    </w:p>
    <w:p w14:paraId="681C5AD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22D57FB0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- Quando se tratar de formas jovens de moluscos e algas macrófitas, estas podem ser extraídas em ambiente natural de acordo com a forma estabelecida na legislação pertinente;</w:t>
      </w:r>
    </w:p>
    <w:p w14:paraId="73904266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II - Quando se tratar de formas jovens de moluscos, estas podem ser obtidas por meio de fixação natural em coletores artificiais, na forma estabelecida na legislação pertinente;</w:t>
      </w:r>
    </w:p>
    <w:p w14:paraId="00503D7E" w14:textId="2E5413DB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III - Quando se tratar de espécies ornamentais, a origem será comprovada por meio da Nota Fiscal, onde deverá constar o número de inscrição no Registro Geral da Atividade Pesqueira- RGP no campo informações adicionais conforme normas vigentes;</w:t>
      </w:r>
    </w:p>
    <w:p w14:paraId="2153B6C2" w14:textId="6C91BEDD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IV - Quando se tratar de microalgas e zooplâncton, estes podem ser obtidos através de captura </w:t>
      </w:r>
      <w:r w:rsidR="00445504">
        <w:rPr>
          <w:rFonts w:ascii="Arial" w:eastAsia="Arial" w:hAnsi="Arial" w:cs="Arial"/>
          <w:color w:val="242424"/>
          <w:sz w:val="22"/>
          <w:szCs w:val="22"/>
        </w:rPr>
        <w:t xml:space="preserve">ou </w:t>
      </w:r>
      <w:r>
        <w:rPr>
          <w:rFonts w:ascii="Arial" w:eastAsia="Arial" w:hAnsi="Arial" w:cs="Arial"/>
          <w:color w:val="242424"/>
          <w:sz w:val="22"/>
          <w:szCs w:val="22"/>
        </w:rPr>
        <w:t>coleta em ambiente natural.</w:t>
      </w:r>
    </w:p>
    <w:p w14:paraId="2396FBD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248DE71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12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licenciamento ambiental de empreendimentos de aquicultura em Zona Costeira deve observar os critérios e limites definidos no Zoneamento Ecológico Econômico Costeiro, Plano Nacional de Gerenciamento Costeiro e Plano Estadual de Gerenciamento Costeiro, sem prejuízo do atendimento aos demais instrumentos normativos de uso dos recursos pesqueiros.</w:t>
      </w:r>
    </w:p>
    <w:p w14:paraId="708A85BE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D39AB0F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Parágrafo único. A inexistência dos critérios e limites definidos nos instrumentos constantes do caput deste artigo não impossibilita o licenciamento ambiental de empreendimentos de aquicultura.</w:t>
      </w:r>
    </w:p>
    <w:p w14:paraId="78641A9D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335DF3C5" w14:textId="4EC231FC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13. Os empreendimentos de aquicultura</w:t>
      </w:r>
      <w:r w:rsidR="002C1908">
        <w:rPr>
          <w:rFonts w:ascii="Arial" w:eastAsia="Arial" w:hAnsi="Arial" w:cs="Arial"/>
          <w:color w:val="242424"/>
          <w:sz w:val="22"/>
          <w:szCs w:val="22"/>
        </w:rPr>
        <w:t xml:space="preserve"> localizados em ambiente terrestre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, quando necessário, </w:t>
      </w:r>
      <w:r w:rsidR="00445504">
        <w:rPr>
          <w:rFonts w:ascii="Arial" w:eastAsia="Arial" w:hAnsi="Arial" w:cs="Arial"/>
          <w:color w:val="242424"/>
          <w:sz w:val="22"/>
          <w:szCs w:val="22"/>
        </w:rPr>
        <w:t xml:space="preserve">deverão </w:t>
      </w:r>
      <w:r>
        <w:rPr>
          <w:rFonts w:ascii="Arial" w:eastAsia="Arial" w:hAnsi="Arial" w:cs="Arial"/>
          <w:color w:val="242424"/>
          <w:sz w:val="22"/>
          <w:szCs w:val="22"/>
        </w:rPr>
        <w:t>implantar mecanismos de tratamento e controle de efluentes que garantam o atendimento aos padrões estabelecidos na legislação ambiental vigente.</w:t>
      </w:r>
    </w:p>
    <w:p w14:paraId="365D946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3F13D47E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Parágrafo único. Os empreendimentos em que seja tecnicamente necessário qualquer mecanismo de tratamento ou controle de efluentes deverão apresentar ao órgão ambiental licenciador projeto compatível com o disposto no caput deste artigo.</w:t>
      </w:r>
    </w:p>
    <w:p w14:paraId="76CBB6C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02F8AF9" w14:textId="496CD669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 14. Os empreendimentos de aquicultura </w:t>
      </w:r>
      <w:r w:rsidR="002C1908">
        <w:rPr>
          <w:rFonts w:ascii="Arial" w:eastAsia="Arial" w:hAnsi="Arial" w:cs="Arial"/>
          <w:color w:val="242424"/>
          <w:sz w:val="22"/>
          <w:szCs w:val="22"/>
        </w:rPr>
        <w:t xml:space="preserve">localizados </w:t>
      </w:r>
      <w:r>
        <w:rPr>
          <w:rFonts w:ascii="Arial" w:eastAsia="Arial" w:hAnsi="Arial" w:cs="Arial"/>
          <w:color w:val="242424"/>
          <w:sz w:val="22"/>
          <w:szCs w:val="22"/>
        </w:rPr>
        <w:t>diretamente no corpo hídrico poderão ter o licenciamento ambiental independentemente de área de apoio em terra.</w:t>
      </w:r>
    </w:p>
    <w:p w14:paraId="3AF3190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B14A9BF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2"/>
          <w:szCs w:val="22"/>
          <w:highlight w:val="yellow"/>
        </w:rPr>
      </w:pPr>
      <w:commentRangeStart w:id="15"/>
      <w:r w:rsidRPr="4A0C5390">
        <w:rPr>
          <w:rFonts w:ascii="Arial" w:eastAsia="Arial" w:hAnsi="Arial" w:cs="Arial"/>
          <w:sz w:val="22"/>
          <w:szCs w:val="22"/>
          <w:highlight w:val="yellow"/>
        </w:rPr>
        <w:t>Art. 15. As con</w:t>
      </w:r>
      <w:commentRangeEnd w:id="15"/>
      <w:r>
        <w:commentReference w:id="15"/>
      </w:r>
      <w:r w:rsidRPr="4A0C5390">
        <w:rPr>
          <w:rFonts w:ascii="Arial" w:eastAsia="Arial" w:hAnsi="Arial" w:cs="Arial"/>
          <w:sz w:val="22"/>
          <w:szCs w:val="22"/>
          <w:highlight w:val="yellow"/>
        </w:rPr>
        <w:t>dicionantes estabelecidas no processo de licenciamento ambiental de empreendimentos de aquicultura não poderão, direta ou indiretamente, inviabilizar a regularização do empreendimento ou comprometer sua viabilidade econômica.</w:t>
      </w:r>
    </w:p>
    <w:p w14:paraId="02C0B1B9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356EB590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</w:rPr>
      </w:pPr>
      <w:commentRangeStart w:id="16"/>
      <w:r w:rsidRPr="4A0C5390">
        <w:rPr>
          <w:rFonts w:ascii="Arial" w:eastAsia="Arial" w:hAnsi="Arial" w:cs="Arial"/>
          <w:color w:val="242424"/>
          <w:sz w:val="22"/>
          <w:szCs w:val="22"/>
        </w:rPr>
        <w:t>Art. 16. Em e</w:t>
      </w:r>
      <w:commentRangeEnd w:id="16"/>
      <w:r>
        <w:commentReference w:id="16"/>
      </w:r>
      <w:r w:rsidRPr="4A0C5390">
        <w:rPr>
          <w:rFonts w:ascii="Arial" w:eastAsia="Arial" w:hAnsi="Arial" w:cs="Arial"/>
          <w:color w:val="242424"/>
          <w:sz w:val="22"/>
          <w:szCs w:val="22"/>
        </w:rPr>
        <w:t>mpreendimentos aquícolas em ambiente terrestre, os projetos deverão apresentar padrões construtivos que evitem erosões, rompimento de taludes e danos nas demais estruturas do empreendimento.</w:t>
      </w:r>
    </w:p>
    <w:p w14:paraId="7338275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4C4AE14B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Art. 17. No encerramento das atividades de aquicultura, deverá ser apresentado ao órgão ambiental um Plano de Desativação e, se necessário, de Recuperação.</w:t>
      </w:r>
    </w:p>
    <w:p w14:paraId="6FB1D13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3B4E695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18.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 A licença ambiental para atividades ou empreendimentos de aquicultura poderá ser concedida sem prejuízo do atendimento das demais disposições legais vigentes.</w:t>
      </w:r>
    </w:p>
    <w:p w14:paraId="1DFE984E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1C76BFF" w14:textId="268F28FB" w:rsidR="00812EE0" w:rsidRDefault="004D36D4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Art. 19</w:t>
      </w:r>
      <w:r w:rsidRPr="4A0C5390">
        <w:rPr>
          <w:rFonts w:ascii="Arial" w:eastAsia="Arial" w:hAnsi="Arial" w:cs="Arial"/>
          <w:color w:val="FF0000"/>
          <w:sz w:val="22"/>
          <w:szCs w:val="22"/>
        </w:rPr>
        <w:t xml:space="preserve">. 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>Esta Resolução entra em vigor na data de sua publicação, aplicando-se seus efeitos aos processos de licenciamento em tramitação nos órgãos ambientais competentes, inclusive os casos de renovação, em que ainda não tenha sido expedida alguma das licenças exigíveis</w:t>
      </w:r>
      <w:r w:rsidR="0761A834" w:rsidRPr="4A0C5390">
        <w:rPr>
          <w:rFonts w:ascii="Arial" w:eastAsia="Arial" w:hAnsi="Arial" w:cs="Arial"/>
          <w:color w:val="242424"/>
          <w:sz w:val="22"/>
          <w:szCs w:val="22"/>
        </w:rPr>
        <w:t>.</w:t>
      </w:r>
    </w:p>
    <w:p w14:paraId="1FFCCD9F" w14:textId="77777777" w:rsidR="0073520E" w:rsidRDefault="0073520E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91260A0" w14:textId="66E4B398" w:rsidR="0073520E" w:rsidRPr="0073520E" w:rsidRDefault="0073520E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F6680E">
        <w:rPr>
          <w:rFonts w:ascii="Arial" w:eastAsia="Arial" w:hAnsi="Arial" w:cs="Arial"/>
          <w:color w:val="EE0000"/>
          <w:sz w:val="22"/>
          <w:szCs w:val="22"/>
        </w:rPr>
        <w:t>Contribuição (Roberta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Lopes</w:t>
      </w:r>
      <w:r w:rsidRPr="00F6680E">
        <w:rPr>
          <w:rFonts w:ascii="Arial" w:eastAsia="Arial" w:hAnsi="Arial" w:cs="Arial"/>
          <w:color w:val="EE0000"/>
          <w:sz w:val="22"/>
          <w:szCs w:val="22"/>
        </w:rPr>
        <w:t xml:space="preserve"> – SEMACE/CE): </w:t>
      </w:r>
      <w:r w:rsidRPr="0073520E">
        <w:rPr>
          <w:rFonts w:ascii="Arial" w:eastAsia="Arial" w:hAnsi="Arial" w:cs="Arial"/>
          <w:color w:val="EE0000"/>
          <w:sz w:val="22"/>
          <w:szCs w:val="22"/>
        </w:rPr>
        <w:t>Redação trazida pela Lei 15.090, de 08 de agosto de 2025:</w:t>
      </w:r>
    </w:p>
    <w:p w14:paraId="549A220C" w14:textId="77777777" w:rsidR="0073520E" w:rsidRPr="0073520E" w:rsidRDefault="0073520E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p w14:paraId="63AAF31B" w14:textId="77777777" w:rsidR="0073520E" w:rsidRPr="0073520E" w:rsidRDefault="0073520E" w:rsidP="0073520E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73520E">
        <w:rPr>
          <w:rFonts w:ascii="Arial" w:eastAsia="Arial" w:hAnsi="Arial" w:cs="Arial"/>
          <w:color w:val="EE0000"/>
          <w:sz w:val="22"/>
          <w:szCs w:val="22"/>
        </w:rPr>
        <w:t>Art. 60. Os procedimentos previstos nesta Lei aplicam-se a processos de licenciamento ambiental iniciados após a data de sua entrada em vigor.</w:t>
      </w:r>
    </w:p>
    <w:p w14:paraId="303D4394" w14:textId="77777777" w:rsidR="0073520E" w:rsidRPr="0073520E" w:rsidRDefault="0073520E" w:rsidP="0073520E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73520E">
        <w:rPr>
          <w:rFonts w:ascii="Arial" w:eastAsia="Arial" w:hAnsi="Arial" w:cs="Arial"/>
          <w:color w:val="EE0000"/>
          <w:sz w:val="22"/>
          <w:szCs w:val="22"/>
        </w:rPr>
        <w:t>Parágrafo único. Os processos de licenciamento ambiental em curso no momento do início da vigência desta Lei deverão adequar-se às disposições desta Lei, da seguinte forma:</w:t>
      </w:r>
    </w:p>
    <w:p w14:paraId="39564667" w14:textId="77777777" w:rsidR="0073520E" w:rsidRPr="0073520E" w:rsidRDefault="0073520E" w:rsidP="0073520E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73520E">
        <w:rPr>
          <w:rFonts w:ascii="Arial" w:eastAsia="Arial" w:hAnsi="Arial" w:cs="Arial"/>
          <w:color w:val="EE0000"/>
          <w:sz w:val="22"/>
          <w:szCs w:val="22"/>
        </w:rPr>
        <w:t>I - as obrigações e os cronogramas já estabelecidos deverão ser respeitados até que seja concluída a etapa atual em que se encontra o processo;</w:t>
      </w:r>
    </w:p>
    <w:p w14:paraId="3DD7BBC1" w14:textId="77777777" w:rsidR="0073520E" w:rsidRPr="0073520E" w:rsidRDefault="0073520E" w:rsidP="0073520E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73520E">
        <w:rPr>
          <w:rFonts w:ascii="Arial" w:eastAsia="Arial" w:hAnsi="Arial" w:cs="Arial"/>
          <w:color w:val="EE0000"/>
          <w:sz w:val="22"/>
          <w:szCs w:val="22"/>
        </w:rPr>
        <w:t>II - os procedimentos e os prazos das etapas subsequentes às indicadas no inciso I deste parágrafo deverão atender ao disposto nesta Lei.</w:t>
      </w:r>
    </w:p>
    <w:p w14:paraId="3376E733" w14:textId="77777777" w:rsidR="0073520E" w:rsidRPr="0073520E" w:rsidRDefault="0073520E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p w14:paraId="3EF0569A" w14:textId="792F5FA3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364DEDF9" w14:textId="57399C78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7EF6FA07" w14:textId="2B591DE4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7C24063B" w14:textId="18F0E057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6A8706C7" w14:textId="77777777" w:rsidR="00812EE0" w:rsidRDefault="004D36D4">
      <w:pPr>
        <w:ind w:left="637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</w:t>
      </w:r>
    </w:p>
    <w:p w14:paraId="591BE4C5" w14:textId="7031F7BF" w:rsidR="00812EE0" w:rsidRDefault="004D36D4">
      <w:pPr>
        <w:rPr>
          <w:rFonts w:ascii="Arial" w:eastAsia="Arial" w:hAnsi="Arial" w:cs="Arial"/>
          <w:color w:val="000000"/>
        </w:rPr>
      </w:pPr>
      <w:r w:rsidRPr="000B7262">
        <w:rPr>
          <w:rFonts w:ascii="Arial" w:eastAsia="Arial" w:hAnsi="Arial" w:cs="Arial"/>
          <w:color w:val="000000"/>
          <w:highlight w:val="yellow"/>
        </w:rPr>
        <w:t>Tabela 1: Porte do empreendimento aquícola.</w:t>
      </w:r>
      <w:r w:rsidR="000B7262" w:rsidRPr="000B7262">
        <w:rPr>
          <w:rFonts w:ascii="Arial" w:eastAsia="Arial" w:hAnsi="Arial" w:cs="Arial"/>
          <w:color w:val="000000"/>
          <w:highlight w:val="yellow"/>
        </w:rPr>
        <w:t xml:space="preserve"> </w:t>
      </w:r>
    </w:p>
    <w:tbl>
      <w:tblPr>
        <w:tblStyle w:val="a0"/>
        <w:tblW w:w="140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305"/>
        <w:gridCol w:w="1695"/>
        <w:gridCol w:w="1860"/>
        <w:gridCol w:w="1755"/>
        <w:gridCol w:w="1785"/>
        <w:gridCol w:w="1965"/>
        <w:gridCol w:w="2235"/>
      </w:tblGrid>
      <w:tr w:rsidR="00812EE0" w14:paraId="39E9F8AD" w14:textId="77777777">
        <w:trPr>
          <w:trHeight w:val="136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2449A9" w14:textId="77777777" w:rsidR="00812EE0" w:rsidRDefault="00812EE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2AA80A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7D8B0F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Carcinicultura de água doce (t/ano)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4C8901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Finalidade ornamental (unidades/ano)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30BAF0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Piscicultura (t/ano)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E805F49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Ranicultura (t/ano)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DD41BAE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Malacocultura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t/ano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36C9D5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Algicultura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(t/ano) peso úmido/molhado</w:t>
            </w:r>
          </w:p>
        </w:tc>
      </w:tr>
      <w:tr w:rsidR="00E3149E" w14:paraId="50D5B17A" w14:textId="77777777" w:rsidTr="00EE0F6C">
        <w:trPr>
          <w:trHeight w:val="300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F5C7E8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02FEEC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Pequeno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FA964C" w14:textId="1AC66B92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25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C64D779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Até 300.000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AB0C15" w14:textId="423C34E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500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FB5446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20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DCE8AF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D74098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1.000</w:t>
            </w:r>
          </w:p>
        </w:tc>
      </w:tr>
      <w:tr w:rsidR="00E3149E" w14:paraId="5C6EA2C4" w14:textId="77777777" w:rsidTr="00EE0F6C">
        <w:trPr>
          <w:trHeight w:val="300"/>
        </w:trPr>
        <w:tc>
          <w:tcPr>
            <w:tcW w:w="14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06803F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72AC14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Médio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406824" w14:textId="491977DC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25 ≤ 100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CE7DDA2" w14:textId="77777777" w:rsidR="00E3149E" w:rsidRDefault="00E3149E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&gt;300.000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&lt;</w:t>
            </w:r>
            <w:r>
              <w:rPr>
                <w:rFonts w:ascii="Arial" w:eastAsia="Arial" w:hAnsi="Arial" w:cs="Arial"/>
                <w:color w:val="000000"/>
              </w:rPr>
              <w:t>1.000.000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2E5E4C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500 ≤ 1500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E490A1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 ≤ 45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8D569E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300 ≤ 1.800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40B50D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1.000 ≤ 5.000</w:t>
            </w:r>
          </w:p>
        </w:tc>
      </w:tr>
      <w:tr w:rsidR="00E3149E" w14:paraId="6951FE87" w14:textId="77777777" w:rsidTr="00EE0F6C">
        <w:trPr>
          <w:trHeight w:val="300"/>
        </w:trPr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671A63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D6C11FE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Grande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FB28CC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F58E6AF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1.000.000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96B9D6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1.501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644705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45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056374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C554C5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5.000</w:t>
            </w:r>
          </w:p>
        </w:tc>
      </w:tr>
    </w:tbl>
    <w:p w14:paraId="099E6FB7" w14:textId="77777777" w:rsidR="00812EE0" w:rsidRDefault="00812EE0">
      <w:pPr>
        <w:rPr>
          <w:rFonts w:ascii="Arial" w:eastAsia="Arial" w:hAnsi="Arial" w:cs="Arial"/>
          <w:color w:val="000000"/>
        </w:rPr>
      </w:pPr>
    </w:p>
    <w:p w14:paraId="1E307DD3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4557BFEC" w14:textId="77777777" w:rsidR="00812EE0" w:rsidRDefault="004D36D4">
      <w:pPr>
        <w:shd w:val="clear" w:color="auto" w:fill="FFFFFF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Tabela 2: Definição do Porte do empreendimento aquícola de acordo com a produção (milheiro/ano).</w:t>
      </w:r>
    </w:p>
    <w:p w14:paraId="526AAA62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tbl>
      <w:tblPr>
        <w:tblW w:w="139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1458"/>
        <w:gridCol w:w="2244"/>
        <w:gridCol w:w="1858"/>
        <w:gridCol w:w="2030"/>
        <w:gridCol w:w="2072"/>
        <w:gridCol w:w="2072"/>
      </w:tblGrid>
      <w:tr w:rsidR="00812EE0" w14:paraId="17201711" w14:textId="77777777" w:rsidTr="7129F6FD">
        <w:trPr>
          <w:trHeight w:val="300"/>
        </w:trPr>
        <w:tc>
          <w:tcPr>
            <w:tcW w:w="2215" w:type="dxa"/>
          </w:tcPr>
          <w:p w14:paraId="61174FC9" w14:textId="77777777" w:rsidR="00812EE0" w:rsidRDefault="00812EE0" w:rsidP="7129F6FD">
            <w:pPr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65CB838" w14:textId="77777777" w:rsidR="00812EE0" w:rsidRDefault="00812EE0" w:rsidP="7129F6FD">
            <w:pPr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E143341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Piscicultura ornamental (milheiro/ano)</w:t>
            </w:r>
          </w:p>
        </w:tc>
        <w:tc>
          <w:tcPr>
            <w:tcW w:w="1858" w:type="dxa"/>
          </w:tcPr>
          <w:p w14:paraId="27FF2892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Forma jovem - Piscicultura (milheiro/ano)</w:t>
            </w:r>
          </w:p>
        </w:tc>
        <w:tc>
          <w:tcPr>
            <w:tcW w:w="2030" w:type="dxa"/>
          </w:tcPr>
          <w:p w14:paraId="02C4285C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Forma jovem – Ranicultura</w:t>
            </w:r>
          </w:p>
          <w:p w14:paraId="3A4CF131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14:paraId="34CDBF3E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Malacocultura</w:t>
            </w:r>
            <w:proofErr w:type="spellEnd"/>
          </w:p>
          <w:p w14:paraId="542E8138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14:paraId="66581C9F" w14:textId="78742812" w:rsidR="1493CDFC" w:rsidRDefault="1493CDFC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Cacinicultura</w:t>
            </w:r>
            <w:proofErr w:type="spellEnd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água doce</w:t>
            </w:r>
          </w:p>
          <w:p w14:paraId="64321345" w14:textId="25476FBE" w:rsidR="1493CDFC" w:rsidRDefault="1493CDFC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(milheiro/</w:t>
            </w:r>
            <w:r w:rsidR="6009FBA4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PL/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ano)</w:t>
            </w:r>
          </w:p>
        </w:tc>
      </w:tr>
      <w:tr w:rsidR="00E3149E" w14:paraId="2617C27E" w14:textId="77777777" w:rsidTr="7129F6FD">
        <w:trPr>
          <w:trHeight w:val="300"/>
        </w:trPr>
        <w:tc>
          <w:tcPr>
            <w:tcW w:w="2215" w:type="dxa"/>
            <w:vMerge w:val="restart"/>
          </w:tcPr>
          <w:p w14:paraId="21DA6825" w14:textId="77777777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  <w:p w14:paraId="14AF2FDC" w14:textId="77777777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  <w:p w14:paraId="452192DC" w14:textId="52DA1D9F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PORTE</w:t>
            </w:r>
          </w:p>
        </w:tc>
        <w:tc>
          <w:tcPr>
            <w:tcW w:w="1458" w:type="dxa"/>
          </w:tcPr>
          <w:p w14:paraId="340BD7C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Pequeno</w:t>
            </w:r>
          </w:p>
        </w:tc>
        <w:tc>
          <w:tcPr>
            <w:tcW w:w="2244" w:type="dxa"/>
          </w:tcPr>
          <w:p w14:paraId="4562405E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300</w:t>
            </w:r>
          </w:p>
        </w:tc>
        <w:tc>
          <w:tcPr>
            <w:tcW w:w="1858" w:type="dxa"/>
          </w:tcPr>
          <w:p w14:paraId="654C23C6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10.000</w:t>
            </w:r>
          </w:p>
        </w:tc>
        <w:tc>
          <w:tcPr>
            <w:tcW w:w="2030" w:type="dxa"/>
          </w:tcPr>
          <w:p w14:paraId="350543AA" w14:textId="4B68760E" w:rsidR="00E3149E" w:rsidRDefault="3DD6ADB1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500</w:t>
            </w:r>
          </w:p>
        </w:tc>
        <w:tc>
          <w:tcPr>
            <w:tcW w:w="2072" w:type="dxa"/>
          </w:tcPr>
          <w:p w14:paraId="26019758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100.000</w:t>
            </w:r>
          </w:p>
        </w:tc>
        <w:tc>
          <w:tcPr>
            <w:tcW w:w="2072" w:type="dxa"/>
          </w:tcPr>
          <w:p w14:paraId="4EDA23C8" w14:textId="3F56A1B8" w:rsidR="3D60AE4F" w:rsidRDefault="3D60AE4F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5.000</w:t>
            </w:r>
          </w:p>
        </w:tc>
      </w:tr>
      <w:tr w:rsidR="00E3149E" w14:paraId="5B4A762F" w14:textId="77777777" w:rsidTr="7129F6FD">
        <w:trPr>
          <w:trHeight w:val="300"/>
        </w:trPr>
        <w:tc>
          <w:tcPr>
            <w:tcW w:w="2215" w:type="dxa"/>
            <w:vMerge/>
          </w:tcPr>
          <w:p w14:paraId="788D2619" w14:textId="77777777" w:rsidR="00E3149E" w:rsidRDefault="00E3149E">
            <w:pPr>
              <w:rPr>
                <w:rFonts w:ascii="Arial" w:eastAsia="Arial" w:hAnsi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9FB947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Médio</w:t>
            </w:r>
          </w:p>
        </w:tc>
        <w:tc>
          <w:tcPr>
            <w:tcW w:w="2244" w:type="dxa"/>
          </w:tcPr>
          <w:p w14:paraId="237BEED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&gt;300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1858" w:type="dxa"/>
          </w:tcPr>
          <w:p w14:paraId="6486F590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&gt;10.000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20.000</w:t>
            </w:r>
          </w:p>
        </w:tc>
        <w:tc>
          <w:tcPr>
            <w:tcW w:w="2030" w:type="dxa"/>
          </w:tcPr>
          <w:p w14:paraId="28878362" w14:textId="74F3E4BF" w:rsidR="00E3149E" w:rsidRDefault="2280A03B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proofErr w:type="gramStart"/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 </w:t>
            </w:r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500</w:t>
            </w:r>
            <w:proofErr w:type="gramEnd"/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</w:t>
            </w:r>
            <w:r w:rsidR="6C816D2A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14:paraId="71C819EB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&gt;100.000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200.000</w:t>
            </w:r>
          </w:p>
          <w:p w14:paraId="24974BF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BB31D12" w14:textId="5A2056A8" w:rsidR="472AF190" w:rsidRDefault="472AF190" w:rsidP="7129F6F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66774056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5.000 </w:t>
            </w:r>
            <w:r w:rsidR="11D6EB89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="11D6EB89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6774056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  <w:tr w:rsidR="00E3149E" w14:paraId="0E173329" w14:textId="77777777" w:rsidTr="7129F6FD">
        <w:trPr>
          <w:trHeight w:val="300"/>
        </w:trPr>
        <w:tc>
          <w:tcPr>
            <w:tcW w:w="2215" w:type="dxa"/>
            <w:vMerge/>
          </w:tcPr>
          <w:p w14:paraId="52A4C409" w14:textId="77777777" w:rsidR="00E3149E" w:rsidRDefault="00E3149E">
            <w:pPr>
              <w:rPr>
                <w:rFonts w:ascii="Arial" w:eastAsia="Arial" w:hAnsi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6017ABE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Grande</w:t>
            </w:r>
          </w:p>
        </w:tc>
        <w:tc>
          <w:tcPr>
            <w:tcW w:w="2244" w:type="dxa"/>
          </w:tcPr>
          <w:p w14:paraId="51CE8CF6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1.000</w:t>
            </w:r>
          </w:p>
        </w:tc>
        <w:tc>
          <w:tcPr>
            <w:tcW w:w="1858" w:type="dxa"/>
          </w:tcPr>
          <w:p w14:paraId="7C028D35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20.000</w:t>
            </w:r>
          </w:p>
        </w:tc>
        <w:tc>
          <w:tcPr>
            <w:tcW w:w="2030" w:type="dxa"/>
          </w:tcPr>
          <w:p w14:paraId="08F03447" w14:textId="154696CD" w:rsidR="00E3149E" w:rsidRDefault="08F44AE3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14:paraId="02122B63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200.000</w:t>
            </w:r>
          </w:p>
        </w:tc>
        <w:tc>
          <w:tcPr>
            <w:tcW w:w="2072" w:type="dxa"/>
          </w:tcPr>
          <w:p w14:paraId="0E867094" w14:textId="5A2EB385" w:rsidR="6765FFBA" w:rsidRDefault="6765FFBA" w:rsidP="7129F6F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41DE3531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</w:tbl>
    <w:p w14:paraId="2B12563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7982F7F6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53691CB4" w14:textId="493BB322" w:rsidR="00812EE0" w:rsidRPr="00B74990" w:rsidRDefault="00812EE0" w:rsidP="362F7B1F">
      <w:pPr>
        <w:rPr>
          <w:highlight w:val="yellow"/>
        </w:rPr>
      </w:pPr>
    </w:p>
    <w:p w14:paraId="43CBC865" w14:textId="331055F2" w:rsidR="00812EE0" w:rsidRDefault="00812EE0">
      <w:r>
        <w:lastRenderedPageBreak/>
        <w:br w:type="page"/>
      </w:r>
    </w:p>
    <w:p w14:paraId="560EE6AE" w14:textId="55FDF487" w:rsidR="00812EE0" w:rsidRDefault="004D36D4" w:rsidP="362F7B1F">
      <w:pPr>
        <w:rPr>
          <w:rFonts w:ascii="Arial" w:eastAsia="Arial" w:hAnsi="Arial" w:cs="Arial"/>
          <w:b/>
          <w:bCs/>
          <w:color w:val="242424"/>
          <w:sz w:val="22"/>
          <w:szCs w:val="22"/>
        </w:rPr>
      </w:pP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lastRenderedPageBreak/>
        <w:t>ANEXO II - Procedimento de licenciamento referente aos empreendimentos classificados como PORTE PEQUEN</w:t>
      </w:r>
    </w:p>
    <w:p w14:paraId="14B492CE" w14:textId="77777777" w:rsidR="00812EE0" w:rsidRDefault="004D36D4">
      <w:pPr>
        <w:spacing w:before="240" w:after="240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1786D26F" wp14:editId="2A43978F">
            <wp:extent cx="5724524" cy="2371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E1A1B5E" wp14:editId="4A98DDDC">
            <wp:extent cx="5724524" cy="1790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0AA65" w14:textId="77777777" w:rsidR="00812EE0" w:rsidRDefault="004D36D4">
      <w:pPr>
        <w:spacing w:before="240" w:after="240"/>
        <w:rPr>
          <w:rFonts w:ascii="Arial" w:eastAsia="Arial" w:hAnsi="Arial" w:cs="Arial"/>
          <w:color w:val="FF0000"/>
        </w:rPr>
      </w:pPr>
      <w:r w:rsidRPr="362F7B1F">
        <w:rPr>
          <w:rFonts w:ascii="Arial" w:eastAsia="Arial" w:hAnsi="Arial" w:cs="Arial"/>
          <w:color w:val="FF0000"/>
        </w:rPr>
        <w:t>Incluir - 2.3.2 - Apresentação do Relatório Anual de Produção.</w:t>
      </w:r>
    </w:p>
    <w:p w14:paraId="7345E26B" w14:textId="3AAF161A" w:rsidR="00812EE0" w:rsidRDefault="00812EE0" w:rsidP="362F7B1F"/>
    <w:p w14:paraId="2EF507A1" w14:textId="09B6A778" w:rsidR="00812EE0" w:rsidRDefault="004D36D4">
      <w:r>
        <w:br w:type="page"/>
      </w:r>
    </w:p>
    <w:p w14:paraId="626A53D1" w14:textId="36DC48C8" w:rsidR="00812EE0" w:rsidRDefault="2B43F9E2" w:rsidP="362F7B1F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242424"/>
          <w:sz w:val="22"/>
          <w:szCs w:val="22"/>
        </w:rPr>
      </w:pPr>
      <w:r w:rsidRPr="7129F6FD">
        <w:rPr>
          <w:rFonts w:ascii="Arial" w:eastAsia="Arial" w:hAnsi="Arial" w:cs="Arial"/>
          <w:b/>
          <w:bCs/>
          <w:color w:val="242424"/>
          <w:sz w:val="22"/>
          <w:szCs w:val="22"/>
        </w:rPr>
        <w:lastRenderedPageBreak/>
        <w:t>ANEXO II</w:t>
      </w:r>
    </w:p>
    <w:p w14:paraId="735438D6" w14:textId="31A1456A" w:rsidR="7129F6FD" w:rsidRDefault="7129F6FD" w:rsidP="7129F6FD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b/>
          <w:bCs/>
          <w:color w:val="242424"/>
          <w:sz w:val="22"/>
          <w:szCs w:val="22"/>
        </w:rPr>
      </w:pPr>
    </w:p>
    <w:p w14:paraId="760B676F" w14:textId="277900F5" w:rsidR="00812EE0" w:rsidRDefault="00812EE0" w:rsidP="362F7B1F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242424"/>
          <w:sz w:val="22"/>
          <w:szCs w:val="22"/>
        </w:rPr>
      </w:pPr>
    </w:p>
    <w:p w14:paraId="3C7735D8" w14:textId="7EBB35CB" w:rsidR="00812EE0" w:rsidRDefault="2B43F9E2" w:rsidP="362F7B1F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2"/>
          <w:szCs w:val="22"/>
        </w:rPr>
      </w:pP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Procedimento de licenciamento por </w:t>
      </w:r>
      <w:r w:rsidRPr="362F7B1F">
        <w:rPr>
          <w:rFonts w:ascii="Arial" w:eastAsia="Arial" w:hAnsi="Arial" w:cs="Arial"/>
          <w:b/>
          <w:bCs/>
          <w:color w:val="242424"/>
          <w:sz w:val="22"/>
          <w:szCs w:val="22"/>
          <w:highlight w:val="yellow"/>
        </w:rPr>
        <w:t>Adesão e Compromisso</w:t>
      </w: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 referente aos empreendimentos classificados como PORTE PEQUENO</w:t>
      </w:r>
    </w:p>
    <w:p w14:paraId="2C64B056" w14:textId="3474A03A" w:rsidR="00812EE0" w:rsidRDefault="00812EE0" w:rsidP="362F7B1F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45EC93FE" w14:textId="28009EE5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1 - DOCUMENTAÇÃO EXIGIDA:</w:t>
      </w:r>
    </w:p>
    <w:p w14:paraId="30350479" w14:textId="32B06580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>1.1.- Cadastro do empreendimento (ANEXO V)</w:t>
      </w:r>
    </w:p>
    <w:p w14:paraId="3D7FA601" w14:textId="33401949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2 - PROGRAMA DE MONITORAMENTO AMBIENTAL</w:t>
      </w:r>
    </w:p>
    <w:p w14:paraId="0E97C6E2" w14:textId="2093901C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>2.1 - Utilizar as boas práticas de manejo.</w:t>
      </w:r>
    </w:p>
    <w:p w14:paraId="4D995750" w14:textId="66A457B5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2.2 - Para empreendimentos localizados diretamente no corpo hídrico:</w:t>
      </w:r>
    </w:p>
    <w:p w14:paraId="5F7FF7F5" w14:textId="72C304A1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2.2.1 - É obrigatória a apresentação do Relatório Anual de Produção, 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conforme a Decreto nº 10.576/2020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DFF6F42" w14:textId="06CAD514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2.2.2 - Empreendimentos localizados em área de 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adensamento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CONCEITUAR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>) poderão realizar monitoramento ambiental em conjunto.</w:t>
      </w:r>
    </w:p>
    <w:p w14:paraId="2C52F788" w14:textId="4995246F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2.3 - Para empreendimentos localizados em bases terrestres:</w:t>
      </w:r>
    </w:p>
    <w:p w14:paraId="69B2E488" w14:textId="321F4640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129F6FD">
        <w:rPr>
          <w:rFonts w:ascii="Times New Roman" w:eastAsia="Times New Roman" w:hAnsi="Times New Roman" w:cs="Times New Roman"/>
          <w:color w:val="000000" w:themeColor="text1"/>
        </w:rPr>
        <w:t>2.3.1 - Apresentação do Relatório Anual de Produção (</w:t>
      </w:r>
      <w:r w:rsidRPr="7129F6FD">
        <w:rPr>
          <w:rFonts w:ascii="Times New Roman" w:eastAsia="Times New Roman" w:hAnsi="Times New Roman" w:cs="Times New Roman"/>
          <w:color w:val="000000" w:themeColor="text1"/>
          <w:highlight w:val="yellow"/>
        </w:rPr>
        <w:t>UTILIZAR RELATÓRIOS JÁ EXISTENTES, PLATAFORMA INTEGRADA DADOS EXISTENTES</w:t>
      </w:r>
      <w:r w:rsidRPr="7129F6FD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A8790B0" w14:textId="22BEBA92" w:rsidR="00812EE0" w:rsidRDefault="218C22B5" w:rsidP="362F7B1F">
      <w:r w:rsidRPr="7129F6FD">
        <w:t>apresentar métodos de controle da disseminação de espécies exóticas e alóctones a serem empregados durante o cultivo (quando couber)</w:t>
      </w:r>
    </w:p>
    <w:p w14:paraId="39580C50" w14:textId="77777777" w:rsidR="00B74990" w:rsidRDefault="00B74990" w:rsidP="362F7B1F">
      <w:pPr>
        <w:jc w:val="center"/>
        <w:rPr>
          <w:color w:val="000000" w:themeColor="text1"/>
        </w:rPr>
      </w:pPr>
    </w:p>
    <w:p w14:paraId="1AFCDBDD" w14:textId="77777777" w:rsidR="00B74990" w:rsidRDefault="00B74990" w:rsidP="362F7B1F">
      <w:pPr>
        <w:jc w:val="center"/>
        <w:rPr>
          <w:color w:val="000000" w:themeColor="text1"/>
        </w:rPr>
      </w:pPr>
    </w:p>
    <w:p w14:paraId="20A9C162" w14:textId="01DD1F0D" w:rsidR="00812EE0" w:rsidRDefault="004D36D4" w:rsidP="362F7B1F">
      <w:pPr>
        <w:jc w:val="center"/>
        <w:rPr>
          <w:rFonts w:ascii="Arial" w:eastAsia="Arial" w:hAnsi="Arial" w:cs="Arial"/>
          <w:b/>
          <w:bCs/>
        </w:rPr>
      </w:pPr>
      <w:r w:rsidRPr="362F7B1F">
        <w:rPr>
          <w:rFonts w:ascii="Arial" w:eastAsia="Arial" w:hAnsi="Arial" w:cs="Arial"/>
          <w:b/>
          <w:bCs/>
        </w:rPr>
        <w:lastRenderedPageBreak/>
        <w:t>ANEXO III</w:t>
      </w:r>
    </w:p>
    <w:p w14:paraId="5B0C1B48" w14:textId="5B46DEC2" w:rsidR="00812EE0" w:rsidRDefault="004D36D4" w:rsidP="362F7B1F">
      <w:pPr>
        <w:rPr>
          <w:rFonts w:ascii="Arial" w:eastAsia="Arial" w:hAnsi="Arial" w:cs="Arial"/>
          <w:b/>
          <w:bCs/>
        </w:rPr>
      </w:pPr>
      <w:r w:rsidRPr="362F7B1F">
        <w:rPr>
          <w:rFonts w:ascii="Arial" w:eastAsia="Arial" w:hAnsi="Arial" w:cs="Arial"/>
          <w:b/>
          <w:bCs/>
        </w:rPr>
        <w:t xml:space="preserve">Procedimento de licenciamento </w:t>
      </w:r>
      <w:r w:rsidR="728C8E3B" w:rsidRPr="362F7B1F">
        <w:rPr>
          <w:rFonts w:ascii="Arial" w:eastAsia="Arial" w:hAnsi="Arial" w:cs="Arial"/>
          <w:b/>
          <w:bCs/>
          <w:color w:val="000000" w:themeColor="text1"/>
          <w:highlight w:val="yellow"/>
        </w:rPr>
        <w:t>simplificado</w:t>
      </w:r>
      <w:r w:rsidR="728C8E3B" w:rsidRPr="362F7B1F">
        <w:rPr>
          <w:rFonts w:ascii="Arial" w:eastAsia="Arial" w:hAnsi="Arial" w:cs="Arial"/>
        </w:rPr>
        <w:t xml:space="preserve"> </w:t>
      </w:r>
      <w:r w:rsidRPr="362F7B1F">
        <w:rPr>
          <w:rFonts w:ascii="Arial" w:eastAsia="Arial" w:hAnsi="Arial" w:cs="Arial"/>
          <w:b/>
          <w:bCs/>
        </w:rPr>
        <w:t>referente aos empreendimentos classificados como PORTE MÉDIO</w:t>
      </w:r>
    </w:p>
    <w:tbl>
      <w:tblPr>
        <w:tblW w:w="14062" w:type="dxa"/>
        <w:tblLayout w:type="fixed"/>
        <w:tblLook w:val="0600" w:firstRow="0" w:lastRow="0" w:firstColumn="0" w:lastColumn="0" w:noHBand="1" w:noVBand="1"/>
      </w:tblPr>
      <w:tblGrid>
        <w:gridCol w:w="14062"/>
      </w:tblGrid>
      <w:tr w:rsidR="00812EE0" w14:paraId="05D5F90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F6F1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14:paraId="5D3427C7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F97EC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1.1 - Cadastro do empreendimento (ANEXO V)</w:t>
            </w:r>
          </w:p>
        </w:tc>
      </w:tr>
      <w:tr w:rsidR="00812EE0" w14:paraId="17F77818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6DE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14:paraId="6997538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6EDA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14:paraId="001C3A21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CC05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2.2 - Características técnicas do empreendimento (descrição simplificada do Processo produtivo).</w:t>
            </w:r>
          </w:p>
        </w:tc>
      </w:tr>
      <w:tr w:rsidR="00812EE0" w14:paraId="42689D40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EBA2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2.3- Anexar ao Relatório Ambiental pelo menos quatro fotografias do local do empreendimento que permitam uma visão ampla das</w:t>
            </w:r>
          </w:p>
        </w:tc>
      </w:tr>
      <w:tr w:rsidR="00812EE0" w14:paraId="4723F765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566C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suas condições.</w:t>
            </w:r>
          </w:p>
        </w:tc>
      </w:tr>
      <w:tr w:rsidR="00812EE0" w14:paraId="4B96C1B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D6AC2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14:paraId="36897270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932F46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14:paraId="31A4042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7FCA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14:paraId="25E18741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3F5D0C" w14:textId="0D8653A5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3.2.1 - Apresentação do Relatório Anual de Produção, conforme Instrução Normativa MAPA nº 01 de 03 de fevereiro de 2020.</w:t>
            </w:r>
            <w:r w:rsidR="13BB4D3C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13BB4D3C" w:rsidRPr="362F7B1F">
              <w:rPr>
                <w:color w:val="000000" w:themeColor="text1"/>
                <w:highlight w:val="yellow"/>
              </w:rPr>
              <w:t>Decreto nº 10.576/2020*</w:t>
            </w:r>
            <w:r w:rsidR="13BB4D3C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12EE0" w14:paraId="3F4549D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E7FAF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3.2.2 - Parâmetros mínimos: teor de matéria orgânica do sedimento, uma análise anual.</w:t>
            </w:r>
          </w:p>
        </w:tc>
      </w:tr>
      <w:tr w:rsidR="00812EE0" w14:paraId="58ABA9C8" w14:textId="77777777" w:rsidTr="7129F6FD">
        <w:trPr>
          <w:trHeight w:val="24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2DD0AF" w14:textId="77777777" w:rsidR="00812EE0" w:rsidRDefault="004D36D4">
            <w:pPr>
              <w:spacing w:after="0"/>
              <w:ind w:left="-22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3.2.3 - Empreendimentos localizados em área de adensamento poderão realizar monitoramento ambiental em conjunto.</w:t>
            </w:r>
          </w:p>
        </w:tc>
      </w:tr>
      <w:tr w:rsidR="00812EE0" w14:paraId="47B445C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D403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14:paraId="58DBE09A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A9064" w14:textId="4F4B8403" w:rsidR="00812EE0" w:rsidRDefault="004D36D4" w:rsidP="362F7B1F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3.3.1 - Poderá ser exigida a comprovação dos parâmetros </w:t>
            </w:r>
            <w:r w:rsidR="57A3AD50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DO EFLUENTE</w:t>
            </w: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 Oxigênio Dissolvido (mg/L); pH; nitrogênio amoniacal total (mg/L), e</w:t>
            </w:r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Nitrito (mg/L) + alcalinidade (mg/L CaCO3), transparência do disco de </w:t>
            </w:r>
            <w:proofErr w:type="spellStart"/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Secchi</w:t>
            </w:r>
            <w:proofErr w:type="spellEnd"/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(cm) e temperatura (°C).</w:t>
            </w:r>
          </w:p>
          <w:p w14:paraId="69E6DDE7" w14:textId="0D7B5D3E" w:rsidR="00812EE0" w:rsidRDefault="34DF3774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3.3.2 - Apresentação do Relatório Anual de Produção</w:t>
            </w:r>
          </w:p>
        </w:tc>
      </w:tr>
      <w:tr w:rsidR="00812EE0" w14:paraId="0551EAB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44D30" w14:textId="4451238C" w:rsidR="00812EE0" w:rsidRDefault="13C4A336" w:rsidP="7129F6FD">
            <w:pPr>
              <w:spacing w:after="0"/>
            </w:pPr>
            <w:r w:rsidRPr="7129F6FD"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apresentar métodos de controle da disseminação de espécies exóticas e alóctones a serem empregados durante o cultivo (quando couber)</w:t>
            </w:r>
          </w:p>
        </w:tc>
      </w:tr>
      <w:tr w:rsidR="00812EE0" w14:paraId="175C7DB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CF3D7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3E095B" w14:textId="63953DBD" w:rsidR="3937EC33" w:rsidRDefault="3937EC33" w:rsidP="3937EC3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578FC9" w14:textId="35A69209" w:rsidR="362F7B1F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CA8FAB" w14:textId="2F4E77B2" w:rsidR="00812EE0" w:rsidRDefault="004D36D4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ANEXO IV</w:t>
            </w:r>
          </w:p>
          <w:p w14:paraId="58C45A99" w14:textId="485548FF" w:rsidR="00812EE0" w:rsidRDefault="004D36D4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Procedimento de licenciamento referente aos empreendimentos classificados como GRANDE PORTE</w:t>
            </w:r>
          </w:p>
          <w:p w14:paraId="7FD4876E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12EE0" w14:paraId="60F5707F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FF84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14:paraId="17A2DDB3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99FC3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1.1 - Cadastro do empreendimento (ANEXO V).</w:t>
            </w:r>
          </w:p>
        </w:tc>
      </w:tr>
      <w:tr w:rsidR="00812EE0" w14:paraId="06B00AC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1FD80B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14:paraId="1237C83D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ADDB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14:paraId="656996C3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98615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2.2 - Características técnicas do empreendimento (descrição simplificada de todo Processo produtivo).</w:t>
            </w:r>
          </w:p>
        </w:tc>
      </w:tr>
      <w:tr w:rsidR="00812EE0" w14:paraId="3A100EB0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3D3D3" w14:textId="0AA66759" w:rsidR="00812EE0" w:rsidRDefault="004D36D4" w:rsidP="7129F6FD">
            <w:pPr>
              <w:spacing w:after="0"/>
              <w:rPr>
                <w:rFonts w:ascii="Arial" w:eastAsia="Arial" w:hAnsi="Arial" w:cs="Arial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2.3 - Anexar ao Relatório Ambiental pelo menos quatro fotografias do local do empreendimento que permitam uma visão ampla das suas condições. </w:t>
            </w:r>
          </w:p>
          <w:p w14:paraId="1EC9AD74" w14:textId="18C55C25" w:rsidR="00812EE0" w:rsidRDefault="63CED496">
            <w:pPr>
              <w:spacing w:after="0"/>
            </w:pPr>
            <w:r w:rsidRPr="7129F6FD">
              <w:rPr>
                <w:rFonts w:ascii="Arial" w:eastAsia="Arial" w:hAnsi="Arial" w:cs="Arial"/>
                <w:sz w:val="22"/>
                <w:szCs w:val="22"/>
              </w:rPr>
              <w:t>apresentar métodos de controle da disseminação de espécies exóticas e alóctones a serem empregados durante o cultivo (quando couber)</w:t>
            </w:r>
          </w:p>
        </w:tc>
      </w:tr>
      <w:tr w:rsidR="00812EE0" w14:paraId="2B1C962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03DB9" w14:textId="77777777" w:rsidR="00812EE0" w:rsidRDefault="00812EE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12EE0" w14:paraId="77FFC19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86B7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14:paraId="70090ED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3C13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14:paraId="625ABD96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BF5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14:paraId="6FD80FE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801C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3.2.1 - AMBIENTE CONTINENTAL:</w:t>
            </w:r>
          </w:p>
        </w:tc>
      </w:tr>
      <w:tr w:rsidR="00812EE0" w14:paraId="2685123A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79D2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3.2.1.1 - Apresentação do Relatório Anual de Produção, conforme Instrução Normativa MAPA nº 01 de 03 de fevereiro de 2020.</w:t>
            </w:r>
          </w:p>
        </w:tc>
      </w:tr>
      <w:tr w:rsidR="00812EE0" w14:paraId="0AC3542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8F6D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3.2.1.2 - Parâmetros mínimos - No sedimento: análise do teor de matéria orgânica, uma análise anual.</w:t>
            </w:r>
          </w:p>
        </w:tc>
      </w:tr>
      <w:tr w:rsidR="00812EE0" w14:paraId="2E820AD8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11EA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3.2.1.3 - Parâmetros mínimos - Na água: Turbidez (NTU); Oxigênio Dissolvido (mg/L); pH; Sólidos Dissolvidos Totais (mg/L); nitrogênio</w:t>
            </w:r>
          </w:p>
        </w:tc>
      </w:tr>
      <w:tr w:rsidR="00812EE0" w14:paraId="291EB63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6C4F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amoniacal total, Nitrato (mg/L), Nitrito (mg/L) e Fósforo Total.</w:t>
            </w:r>
          </w:p>
        </w:tc>
      </w:tr>
      <w:tr w:rsidR="00812EE0" w14:paraId="6BD5E9C9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1DD5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3.2.2 - AMBIENTE MARINHO:</w:t>
            </w:r>
          </w:p>
        </w:tc>
      </w:tr>
      <w:tr w:rsidR="00812EE0" w14:paraId="4E21DE29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6BC48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3.2.2.1 - Apresentação do Relatório Anual de Produção, conforme Instrução Normativa MAPA nº 01 de 03 de fevereiro de 2020.</w:t>
            </w:r>
          </w:p>
        </w:tc>
      </w:tr>
      <w:tr w:rsidR="00812EE0" w14:paraId="4173CD1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54BA18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3.2.2.2 - Parâmetros mínimos: condutividade e profundidade.</w:t>
            </w:r>
          </w:p>
        </w:tc>
      </w:tr>
      <w:tr w:rsidR="00812EE0" w14:paraId="4F709D0F" w14:textId="77777777" w:rsidTr="7129F6FD">
        <w:trPr>
          <w:trHeight w:val="129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12909353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3.2.2.3 - No cultivo de moluscos bivalves: Análise de gradiente da concentração de Sulfetos Totais em perfis de sedimento abaixo dos</w:t>
            </w:r>
          </w:p>
        </w:tc>
      </w:tr>
      <w:tr w:rsidR="00812EE0" w14:paraId="56530363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6345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cultivos e em comparação com áreas testemunha, com a seguinte frequência: &lt; 1500 µM (a cada cinco anos); &gt; 1500 &lt; 3000 µM (a</w:t>
            </w:r>
          </w:p>
        </w:tc>
      </w:tr>
      <w:tr w:rsidR="00812EE0" w14:paraId="5E2B37E9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5CA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 ano); &gt; 3000 µM (empreendimento não licenciável, a menos que as concentrações elevadas estejam naturalmente presentes no</w:t>
            </w:r>
          </w:p>
        </w:tc>
      </w:tr>
      <w:tr w:rsidR="00812EE0" w14:paraId="760907F6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CD30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ambiente).</w:t>
            </w:r>
          </w:p>
        </w:tc>
      </w:tr>
      <w:tr w:rsidR="00812EE0" w14:paraId="73079E17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366B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14:paraId="33DF5551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0648D9FC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3.3.1 - Poderá ser exigida a comprovação dos parâmetros de: Oxigênio Dissolvido (mg/L); pH; nitrogênio amoniacal total (mg/L), e</w:t>
            </w:r>
          </w:p>
        </w:tc>
      </w:tr>
      <w:tr w:rsidR="00812EE0" w14:paraId="2BDCF607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D8C3D1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Nitrito (mg/L) + alcalinidade (mg/L CaCO3), transparência do disco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Secchi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(cm) e temperatura (°C).</w:t>
            </w:r>
          </w:p>
        </w:tc>
      </w:tr>
      <w:tr w:rsidR="00812EE0" w14:paraId="1AE01B5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F42AB0" w14:textId="0602C04D" w:rsidR="00812EE0" w:rsidRDefault="004D36D4" w:rsidP="362F7B1F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3.3.2 - Apresentação do Relatório Anual de Produção.</w:t>
            </w:r>
          </w:p>
          <w:p w14:paraId="75CC151E" w14:textId="5D3170D7" w:rsidR="00812EE0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4EC8749" w14:textId="31EDAD08" w:rsidR="00812EE0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67D2CB9" w14:textId="6B1EB7AB" w:rsidR="00812EE0" w:rsidRDefault="4BCB99A3" w:rsidP="362F7B1F">
            <w:pPr>
              <w:spacing w:after="0"/>
              <w:rPr>
                <w:color w:val="000000" w:themeColor="text1"/>
              </w:rPr>
            </w:pPr>
            <w:r w:rsidRPr="362F7B1F">
              <w:rPr>
                <w:color w:val="000000" w:themeColor="text1"/>
              </w:rPr>
              <w:t xml:space="preserve">No Anexo IV, assim como os demais foi alterado, sendo agora referente à </w:t>
            </w:r>
            <w:proofErr w:type="spellStart"/>
            <w:r w:rsidRPr="362F7B1F">
              <w:rPr>
                <w:color w:val="000000" w:themeColor="text1"/>
              </w:rPr>
              <w:t>empreendimentos</w:t>
            </w:r>
            <w:proofErr w:type="spellEnd"/>
            <w:r w:rsidRPr="362F7B1F">
              <w:rPr>
                <w:color w:val="000000" w:themeColor="text1"/>
              </w:rPr>
              <w:t xml:space="preserve"> classificados como grande porte. E assim como os outros foi reelaborado semelhante ao anterior, mas com uma maior exigência no Programa de Monitoramento Ambiental.</w:t>
            </w:r>
          </w:p>
          <w:p w14:paraId="79305900" w14:textId="4C2CAD49" w:rsidR="00812EE0" w:rsidRDefault="4BCB99A3" w:rsidP="362F7B1F">
            <w:pPr>
              <w:spacing w:after="0"/>
              <w:rPr>
                <w:color w:val="000000" w:themeColor="text1"/>
              </w:rPr>
            </w:pPr>
            <w:r w:rsidRPr="362F7B1F">
              <w:rPr>
                <w:color w:val="000000" w:themeColor="text1"/>
              </w:rPr>
              <w:t>Para empreendimentos do ambiente marinho: Turbidez, OD, pH, TSS são variáveis da limnologia, oceanografia não utiliza esses parâmetros. A sonda de oceanografia é conhecida como CTD. Mede condutividade, temperatura e profundidade. Com Condutividade e temperatura é possível saber qual a massa d’água na área (</w:t>
            </w:r>
            <w:proofErr w:type="gramStart"/>
            <w:r w:rsidRPr="362F7B1F">
              <w:rPr>
                <w:color w:val="000000" w:themeColor="text1"/>
              </w:rPr>
              <w:t>agua</w:t>
            </w:r>
            <w:proofErr w:type="gramEnd"/>
            <w:r w:rsidRPr="362F7B1F">
              <w:rPr>
                <w:color w:val="000000" w:themeColor="text1"/>
              </w:rPr>
              <w:t xml:space="preserve"> costeira, </w:t>
            </w:r>
            <w:proofErr w:type="gramStart"/>
            <w:r w:rsidRPr="362F7B1F">
              <w:rPr>
                <w:color w:val="000000" w:themeColor="text1"/>
              </w:rPr>
              <w:t>agua</w:t>
            </w:r>
            <w:proofErr w:type="gramEnd"/>
            <w:r w:rsidRPr="362F7B1F">
              <w:rPr>
                <w:color w:val="000000" w:themeColor="text1"/>
              </w:rPr>
              <w:t xml:space="preserve"> da corrente do Brasil ou água central do Atlântico Sul). Estas massas d’água tem características constantes e muito difíceis de serem alteradas, não há </w:t>
            </w:r>
            <w:proofErr w:type="gramStart"/>
            <w:r w:rsidRPr="362F7B1F">
              <w:rPr>
                <w:color w:val="000000" w:themeColor="text1"/>
              </w:rPr>
              <w:t>porque</w:t>
            </w:r>
            <w:proofErr w:type="gramEnd"/>
            <w:r w:rsidRPr="362F7B1F">
              <w:rPr>
                <w:color w:val="000000" w:themeColor="text1"/>
              </w:rPr>
              <w:t xml:space="preserve"> onerar os produtores com isso. O Monitoramento de moluscos bivalves é apresentado conforme metodologia: ASC. </w:t>
            </w:r>
            <w:proofErr w:type="spellStart"/>
            <w:r w:rsidRPr="362F7B1F">
              <w:rPr>
                <w:color w:val="000000" w:themeColor="text1"/>
              </w:rPr>
              <w:t>Aquaculture</w:t>
            </w:r>
            <w:proofErr w:type="spellEnd"/>
            <w:r w:rsidRPr="362F7B1F">
              <w:rPr>
                <w:color w:val="000000" w:themeColor="text1"/>
              </w:rPr>
              <w:t xml:space="preserve"> </w:t>
            </w:r>
            <w:proofErr w:type="spellStart"/>
            <w:r w:rsidRPr="362F7B1F">
              <w:rPr>
                <w:color w:val="000000" w:themeColor="text1"/>
              </w:rPr>
              <w:t>Stewardship</w:t>
            </w:r>
            <w:proofErr w:type="spellEnd"/>
            <w:r w:rsidRPr="362F7B1F">
              <w:rPr>
                <w:color w:val="000000" w:themeColor="text1"/>
              </w:rPr>
              <w:t xml:space="preserve"> </w:t>
            </w:r>
            <w:proofErr w:type="spellStart"/>
            <w:r w:rsidRPr="362F7B1F">
              <w:rPr>
                <w:color w:val="000000" w:themeColor="text1"/>
              </w:rPr>
              <w:t>Council</w:t>
            </w:r>
            <w:proofErr w:type="spellEnd"/>
            <w:r w:rsidRPr="362F7B1F">
              <w:rPr>
                <w:color w:val="000000" w:themeColor="text1"/>
              </w:rPr>
              <w:t xml:space="preserve">. ASC Bivalve Standard. </w:t>
            </w:r>
            <w:proofErr w:type="spellStart"/>
            <w:r w:rsidRPr="362F7B1F">
              <w:rPr>
                <w:color w:val="000000" w:themeColor="text1"/>
              </w:rPr>
              <w:t>Version</w:t>
            </w:r>
            <w:proofErr w:type="spellEnd"/>
            <w:r w:rsidRPr="362F7B1F">
              <w:rPr>
                <w:color w:val="000000" w:themeColor="text1"/>
              </w:rPr>
              <w:t xml:space="preserve"> 1.</w:t>
            </w:r>
            <w:proofErr w:type="gramStart"/>
            <w:r w:rsidRPr="362F7B1F">
              <w:rPr>
                <w:color w:val="000000" w:themeColor="text1"/>
              </w:rPr>
              <w:t>0.Utrecht</w:t>
            </w:r>
            <w:proofErr w:type="gramEnd"/>
            <w:r w:rsidRPr="362F7B1F">
              <w:rPr>
                <w:color w:val="000000" w:themeColor="text1"/>
              </w:rPr>
              <w:t>, NL, 2012. 57p.</w:t>
            </w:r>
          </w:p>
          <w:p w14:paraId="56D740DC" w14:textId="27091090" w:rsidR="00812EE0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12EE0" w14:paraId="584F065D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7E25ED" w14:textId="32C5D253" w:rsidR="362F7B1F" w:rsidRDefault="362F7B1F" w:rsidP="00B7499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DF6493" w14:textId="7DC65745" w:rsidR="362F7B1F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ED1793" w14:textId="163026AA" w:rsidR="362F7B1F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71EF4D3" w14:textId="7D4061A0" w:rsidR="362F7B1F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F0F56E5" w14:textId="0EBB2F35" w:rsidR="00812EE0" w:rsidRDefault="004D36D4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ANEXO V </w:t>
            </w:r>
          </w:p>
          <w:p w14:paraId="29F775BA" w14:textId="231E9F49" w:rsidR="00812EE0" w:rsidRDefault="00812EE0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8EBB84" w14:textId="2BE73DF0" w:rsidR="00812EE0" w:rsidRDefault="004D36D4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Cadastro de empreendimento.</w:t>
            </w:r>
          </w:p>
          <w:p w14:paraId="0F9167FD" w14:textId="33DD30F7" w:rsidR="00812EE0" w:rsidRDefault="00812EE0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AB3F320" w14:textId="77777777" w:rsidR="00812EE0" w:rsidRDefault="004D36D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5840C5F" wp14:editId="15DB9558">
            <wp:extent cx="5724524" cy="1285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</w:rPr>
        <w:drawing>
          <wp:inline distT="0" distB="0" distL="0" distR="0" wp14:anchorId="23FD1BF9" wp14:editId="4026F27A">
            <wp:extent cx="5724524" cy="914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830E8F" w14:textId="77777777" w:rsidR="00812EE0" w:rsidRDefault="00812EE0">
      <w:pPr>
        <w:rPr>
          <w:rFonts w:ascii="Arial" w:eastAsia="Arial" w:hAnsi="Arial" w:cs="Arial"/>
        </w:rPr>
      </w:pPr>
    </w:p>
    <w:p w14:paraId="02D24810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5823458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5C305E2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469A1CB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214DA5E7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3AE25294" w14:textId="77777777" w:rsidR="00812EE0" w:rsidRDefault="00812EE0">
      <w:pPr>
        <w:spacing w:before="240" w:after="240"/>
      </w:pPr>
    </w:p>
    <w:sectPr w:rsidR="00812EE0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inicius Martins Diniz" w:date="2025-08-12T10:27:00Z" w:initials="VD">
    <w:p w14:paraId="610B5D72" w14:textId="4D4F8FFA" w:rsidR="00FC5BF8" w:rsidRDefault="00DB3017">
      <w:r>
        <w:annotationRef/>
      </w:r>
      <w:r w:rsidRPr="2D4ADE78">
        <w:t xml:space="preserve">MMA- Necessidade de compatibilizar com a legislação federal, ou então retirar essa parte do texto. </w:t>
      </w:r>
    </w:p>
  </w:comment>
  <w:comment w:id="2" w:author="Vinicius Martins Diniz" w:date="2025-08-12T10:46:00Z" w:initials="VD">
    <w:p w14:paraId="468DFEB5" w14:textId="785FC2CC" w:rsidR="00FC5BF8" w:rsidRDefault="00DB3017">
      <w:r>
        <w:annotationRef/>
      </w:r>
      <w:r w:rsidRPr="12982F69">
        <w:t>SEMA- AP: sugeriu a complementação da redação com "desde que não prejudique a legislação geral federal".</w:t>
      </w:r>
    </w:p>
  </w:comment>
  <w:comment w:id="4" w:author="Vinicius Martins Diniz" w:date="2025-08-12T10:37:00Z" w:initials="VD">
    <w:p w14:paraId="11BF67B6" w14:textId="0FCE0F36" w:rsidR="00FC5BF8" w:rsidRDefault="00DB3017">
      <w:r>
        <w:annotationRef/>
      </w:r>
      <w:r w:rsidRPr="27F89462">
        <w:t xml:space="preserve">Embrapa/Torigoi: o termo sem prejuízo pode gerar confusão. Necessidade de deixar claro que não há sobreposição da norma estadual sobre a federal. </w:t>
      </w:r>
    </w:p>
  </w:comment>
  <w:comment w:id="3" w:author="Vinicius Martins Diniz" w:date="2025-08-12T10:40:00Z" w:initials="VD">
    <w:p w14:paraId="73A6CB2D" w14:textId="1EBE6085" w:rsidR="00FC5BF8" w:rsidRDefault="00DB3017">
      <w:r>
        <w:annotationRef/>
      </w:r>
      <w:r w:rsidRPr="44C78371">
        <w:t xml:space="preserve">ICMbio- a redação se compromete com algo que não é possível afirmar. Redação pode servir como validação das licenças já existentes. </w:t>
      </w:r>
    </w:p>
  </w:comment>
  <w:comment w:id="5" w:author="Vinicius Martins Diniz" w:date="2025-08-12T10:54:00Z" w:initials="VD">
    <w:p w14:paraId="33B3DD66" w14:textId="5D388D6B" w:rsidR="00FC5BF8" w:rsidRDefault="00DB3017">
      <w:r>
        <w:annotationRef/>
      </w:r>
      <w:r w:rsidRPr="57FF90D7">
        <w:t>ABEMA- Informou a possibilidade de colocar a redação ao final para os empreendimentos que já estão licenciando para se adequar à nova resolução.</w:t>
      </w:r>
    </w:p>
  </w:comment>
  <w:comment w:id="6" w:author="Vinicius Martins Diniz" w:date="2025-08-12T10:34:00Z" w:initials="VD">
    <w:p w14:paraId="3F7EE635" w14:textId="3ECB294F" w:rsidR="00FC5BF8" w:rsidRDefault="00DB3017">
      <w:r>
        <w:annotationRef/>
      </w:r>
      <w:r w:rsidRPr="319A666F">
        <w:t xml:space="preserve">INEMA-BA:  entende que os estados, municípios e DF não podem ser menos restritivos a redação do art.2 está conforme a Constituição. </w:t>
      </w:r>
    </w:p>
  </w:comment>
  <w:comment w:id="7" w:author="Vinicius Martins Diniz" w:date="2025-08-12T11:20:00Z" w:initials="VD">
    <w:p w14:paraId="72843CCD" w14:textId="19684FC9" w:rsidR="00FC5BF8" w:rsidRDefault="00DB3017">
      <w:r>
        <w:annotationRef/>
      </w:r>
      <w:r w:rsidRPr="0DFDECAD">
        <w:t xml:space="preserve">MPA- verificar adequação com a nova Lei de Licenciamento. </w:t>
      </w:r>
    </w:p>
  </w:comment>
  <w:comment w:id="9" w:author="Vinicius Martins Diniz" w:date="2025-08-12T11:32:00Z" w:initials="VD">
    <w:p w14:paraId="3F09E085" w14:textId="3D4F2CFF" w:rsidR="00FC5BF8" w:rsidRDefault="00DB3017">
      <w:r>
        <w:annotationRef/>
      </w:r>
      <w:r w:rsidRPr="4962A31D">
        <w:t>MPA- verificar adequação com a nova Lei de Licenciamento.</w:t>
      </w:r>
    </w:p>
    <w:p w14:paraId="468D32E5" w14:textId="1C4620E2" w:rsidR="00FC5BF8" w:rsidRDefault="00DB3017">
      <w:r w:rsidRPr="52D917AD">
        <w:t>INEMA- colocar o órgão ambiental federal competente que autoriza as espécies exóticas.</w:t>
      </w:r>
    </w:p>
    <w:p w14:paraId="7F5F1418" w14:textId="527A50BF" w:rsidR="00FC5BF8" w:rsidRDefault="00DB3017">
      <w:r w:rsidRPr="3931456F">
        <w:t>CNA- colocar em parágrafo único, pois independe do porte.</w:t>
      </w:r>
    </w:p>
  </w:comment>
  <w:comment w:id="10" w:author="Vinicius Martins Diniz" w:date="2025-08-12T11:34:00Z" w:initials="VD">
    <w:p w14:paraId="50F83404" w14:textId="4D16CA5B" w:rsidR="00FC5BF8" w:rsidRDefault="00DB3017">
      <w:r>
        <w:annotationRef/>
      </w:r>
      <w:r w:rsidRPr="3E526FE8">
        <w:t>ABEMA- Observação com a forma em que foi redigido. Não há limites em Resolução CONAMA sobre cianobactérias. Não se sustenta.</w:t>
      </w:r>
    </w:p>
    <w:p w14:paraId="3F67A979" w14:textId="7793A8FB" w:rsidR="00FC5BF8" w:rsidRDefault="00DB3017">
      <w:r w:rsidRPr="41B1887F">
        <w:t>ABEMA/Cetesb- trará contribuições na próxima reunião.</w:t>
      </w:r>
    </w:p>
    <w:p w14:paraId="4092C7A2" w14:textId="0203D00F" w:rsidR="00FC5BF8" w:rsidRDefault="00FC5BF8"/>
  </w:comment>
  <w:comment w:id="11" w:author="Vinicius Martins Diniz" w:date="2025-08-12T11:57:00Z" w:initials="VD">
    <w:p w14:paraId="66A189C8" w14:textId="153EEAEF" w:rsidR="00FC5BF8" w:rsidRDefault="00DB3017">
      <w:r>
        <w:annotationRef/>
      </w:r>
      <w:r w:rsidRPr="7CC48734">
        <w:t xml:space="preserve">ABEMA- Dúvidas sobre a fase da outorga e o tipo de licença a ser incorporada na Resolução. </w:t>
      </w:r>
    </w:p>
  </w:comment>
  <w:comment w:id="12" w:author="Vinicius Martins Diniz" w:date="2025-08-12T11:55:00Z" w:initials="VD">
    <w:p w14:paraId="2D1581DE" w14:textId="2069D87C" w:rsidR="00FC5BF8" w:rsidRDefault="00DB3017">
      <w:r>
        <w:annotationRef/>
      </w:r>
      <w:r w:rsidRPr="1AC31735">
        <w:t xml:space="preserve">Avaliar em que fase será exigida a outorga. </w:t>
      </w:r>
    </w:p>
  </w:comment>
  <w:comment w:id="13" w:author="Vinicius Martins Diniz" w:date="2025-08-12T11:50:00Z" w:initials="VD">
    <w:p w14:paraId="77FA5443" w14:textId="5D059E43" w:rsidR="00FC5BF8" w:rsidRDefault="00DB3017">
      <w:r>
        <w:annotationRef/>
      </w:r>
      <w:r w:rsidRPr="3D113D5A">
        <w:t xml:space="preserve">inema-ba: sugeriu deixar o "orgão ambiental federal competente", pois os estados podem editar listas próprias mais restritivas. </w:t>
      </w:r>
    </w:p>
    <w:p w14:paraId="364E0102" w14:textId="7B3679E1" w:rsidR="00FC5BF8" w:rsidRDefault="00DB3017">
      <w:r w:rsidRPr="71ADB490">
        <w:t>ICMBIO: proposta conjunta pode substituir o art. 10: "A atividade de aquicultura será autorizada exclusivamente com o uso de espécies autóctones ou nativas. A utilização de espécies exóticas ou híbridas somente será permitida quando expressamente autorizada por ato normativo federal específico, devendo, nesses casos, ser observadas diretrizes específicas para a mitigação de impactos ambientais potenciais.</w:t>
      </w:r>
    </w:p>
    <w:p w14:paraId="0EA38517" w14:textId="7B9BCF77" w:rsidR="00FC5BF8" w:rsidRDefault="00FC5BF8"/>
    <w:p w14:paraId="4B4D479D" w14:textId="79789057" w:rsidR="00FC5BF8" w:rsidRDefault="00DB3017">
      <w:r w:rsidRPr="142EDDA8">
        <w:t xml:space="preserve"> § 1º Para o cultivo de espécies exóticas ou híbridas, deverão ser adotadas medidas de manejo e utilização de equipamentos que impeçam o escape de espécimes durante as etapas de transporte, manuseio e cultivo, com especial atenção à classificação por tamanho e contenção física.</w:t>
      </w:r>
    </w:p>
    <w:p w14:paraId="11F832D2" w14:textId="4888B524" w:rsidR="00FC5BF8" w:rsidRDefault="00FC5BF8"/>
    <w:p w14:paraId="3C457768" w14:textId="2117D200" w:rsidR="00FC5BF8" w:rsidRDefault="00DB3017">
      <w:r w:rsidRPr="5789F727">
        <w:t xml:space="preserve"> § 2º Deverão ser empregadas técnicas que evitem a reprodução dos indivíduos em caso de fuga, sem provocar novos impactos ambientais.</w:t>
      </w:r>
    </w:p>
    <w:p w14:paraId="0BAD9AB3" w14:textId="79A3D9EE" w:rsidR="00FC5BF8" w:rsidRDefault="00FC5BF8"/>
    <w:p w14:paraId="78D75CEB" w14:textId="447C1E27" w:rsidR="00FC5BF8" w:rsidRDefault="00DB3017">
      <w:r w:rsidRPr="32230CAB">
        <w:t xml:space="preserve"> § 3º O responsável pela atividade deverá apresentar ações específicas para o controle de parasitas e patógenos associados às espécies cultivadas, incluindo o uso seguro e justificado de biocidas, quando necessário.</w:t>
      </w:r>
    </w:p>
    <w:p w14:paraId="6ADC5681" w14:textId="54E20DB2" w:rsidR="00FC5BF8" w:rsidRDefault="00FC5BF8"/>
    <w:p w14:paraId="227777A1" w14:textId="51D7190A" w:rsidR="00FC5BF8" w:rsidRDefault="00DB3017">
      <w:r w:rsidRPr="792E6A10">
        <w:t xml:space="preserve"> § 4º Será obrigatória a implementação de sistema de monitoramento contínuo, contemplando a detecção, o registro e a comunicação de eventuais escapes e dos impactos ambientais decorrentes.</w:t>
      </w:r>
    </w:p>
    <w:p w14:paraId="4B5C5BB9" w14:textId="4669FA5C" w:rsidR="00FC5BF8" w:rsidRDefault="00FC5BF8"/>
    <w:p w14:paraId="0462151F" w14:textId="2378087A" w:rsidR="00FC5BF8" w:rsidRDefault="00DB3017">
      <w:r w:rsidRPr="4B670338">
        <w:t xml:space="preserve"> § 5º Deverá ser previsto programa de capacitação para os responsáveis técnicos e operadores da atividade, com vistas à correta aplicação das medidas de prevenção, controle e mitigação.</w:t>
      </w:r>
    </w:p>
    <w:p w14:paraId="6682D201" w14:textId="0BB23DE9" w:rsidR="00FC5BF8" w:rsidRDefault="00FC5BF8"/>
    <w:p w14:paraId="1070EC9D" w14:textId="27C929A0" w:rsidR="00FC5BF8" w:rsidRDefault="00DB3017">
      <w:r w:rsidRPr="560AFD55">
        <w:t xml:space="preserve"> § 6º Devem ser apresentadas medidas claras para reverter, mitigar ou compensar eventuais danos ambientais causados pela espécie introduzida, conforme exigência do órgão ambiental competente.</w:t>
      </w:r>
    </w:p>
  </w:comment>
  <w:comment w:id="14" w:author="Vinicius Martins Diniz" w:date="2025-08-12T12:03:00Z" w:initials="VD">
    <w:p w14:paraId="68881313" w14:textId="73DA154F" w:rsidR="00FC5BF8" w:rsidRDefault="00DB3017">
      <w:r>
        <w:annotationRef/>
      </w:r>
      <w:r w:rsidRPr="6026DA3E">
        <w:t>MMA- nessa fase que é importante deixar registradas as observações de ordem sanitária.</w:t>
      </w:r>
    </w:p>
  </w:comment>
  <w:comment w:id="15" w:author="Vinicius Martins Diniz" w:date="2025-08-12T12:06:00Z" w:initials="VD">
    <w:p w14:paraId="77D6DB35" w14:textId="369EEBEE" w:rsidR="00FC5BF8" w:rsidRDefault="00DB3017">
      <w:r>
        <w:annotationRef/>
      </w:r>
      <w:r w:rsidRPr="79E35D03">
        <w:t>ABEMA/ MMA/ IBama/ICMbio- Observação sobre a legalidade do dispositivo. Há situações que realmente inviabilizam a atividade, a depender do caso concreto.</w:t>
      </w:r>
    </w:p>
    <w:p w14:paraId="5BDA41F2" w14:textId="4ECD0A3F" w:rsidR="00FC5BF8" w:rsidRDefault="00DB3017">
      <w:r w:rsidRPr="5B460E36">
        <w:t xml:space="preserve">ICMbio/MMA - questiona qual seria o prejuízo com a retirada do art.15. </w:t>
      </w:r>
    </w:p>
    <w:p w14:paraId="22DBEA4C" w14:textId="4DA3BE94" w:rsidR="00FC5BF8" w:rsidRDefault="00DB3017">
      <w:r w:rsidRPr="22E43C1D">
        <w:t xml:space="preserve">ICMBio- Focar no que deve ser feito em relação aos condicionantes. </w:t>
      </w:r>
    </w:p>
    <w:p w14:paraId="2CEB7CF8" w14:textId="0208AAF5" w:rsidR="00FC5BF8" w:rsidRDefault="00DB3017">
      <w:r w:rsidRPr="67000710">
        <w:t xml:space="preserve">ICMBio - </w:t>
      </w:r>
    </w:p>
    <w:p w14:paraId="737B6F8B" w14:textId="59A249C4" w:rsidR="00FC5BF8" w:rsidRDefault="00DB3017">
      <w:r w:rsidRPr="6956B755">
        <w:t>"O artigo 15 deve ser excluído. Caso haja consenso no grupo quanto à necessidade de incluir um artigo sobre condicionantes, recomenda-se que este seja focado na relação direta com os impactos do empreendimento."</w:t>
      </w:r>
    </w:p>
    <w:p w14:paraId="7F94D92D" w14:textId="14235857" w:rsidR="00FC5BF8" w:rsidRDefault="00DB3017">
      <w:r w:rsidRPr="6A59426B">
        <w:t>"A solução é desvincular as condicionantes da viabilidade econômica. Ficaram dois assuntos relevantes confundidos em um mesmo texto. É interessante a proposta de eliminar o 15 e construir outra redação para discutir sobre as condicionantes."</w:t>
      </w:r>
    </w:p>
    <w:p w14:paraId="2FC876CD" w14:textId="41AEC197" w:rsidR="00FC5BF8" w:rsidRDefault="00FC5BF8"/>
  </w:comment>
  <w:comment w:id="16" w:author="Vinicius Martins Diniz" w:date="2025-08-12T12:17:00Z" w:initials="VD">
    <w:p w14:paraId="7D058682" w14:textId="30AA5CE8" w:rsidR="00FC5BF8" w:rsidRDefault="00DB3017">
      <w:r>
        <w:annotationRef/>
      </w:r>
      <w:r w:rsidRPr="16CF5820">
        <w:t xml:space="preserve">MMA- atividades que possam causar impacto ambiental, conforme as espécies utilizadas, precisam de contensão. Necessidade de previsão na Resolução.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0B5D72" w15:done="0"/>
  <w15:commentEx w15:paraId="468DFEB5" w15:done="0"/>
  <w15:commentEx w15:paraId="11BF67B6" w15:done="0"/>
  <w15:commentEx w15:paraId="73A6CB2D" w15:done="0"/>
  <w15:commentEx w15:paraId="33B3DD66" w15:done="0"/>
  <w15:commentEx w15:paraId="3F7EE635" w15:done="0"/>
  <w15:commentEx w15:paraId="72843CCD" w15:done="0"/>
  <w15:commentEx w15:paraId="7F5F1418" w15:done="0"/>
  <w15:commentEx w15:paraId="4092C7A2" w15:done="0"/>
  <w15:commentEx w15:paraId="66A189C8" w15:done="0"/>
  <w15:commentEx w15:paraId="2D1581DE" w15:done="0"/>
  <w15:commentEx w15:paraId="1070EC9D" w15:done="0"/>
  <w15:commentEx w15:paraId="68881313" w15:done="0"/>
  <w15:commentEx w15:paraId="2FC876CD" w15:done="0"/>
  <w15:commentEx w15:paraId="7D0586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4B9DA3" w16cex:dateUtc="2025-08-12T13:27:00Z"/>
  <w16cex:commentExtensible w16cex:durableId="607365F8" w16cex:dateUtc="2025-08-12T13:46:00Z"/>
  <w16cex:commentExtensible w16cex:durableId="06BAC9BD" w16cex:dateUtc="2025-08-12T13:37:00Z"/>
  <w16cex:commentExtensible w16cex:durableId="0F109C27" w16cex:dateUtc="2025-08-12T13:40:00Z"/>
  <w16cex:commentExtensible w16cex:durableId="0F2A4759" w16cex:dateUtc="2025-08-12T13:54:00Z"/>
  <w16cex:commentExtensible w16cex:durableId="39BF1615" w16cex:dateUtc="2025-08-12T13:34:00Z"/>
  <w16cex:commentExtensible w16cex:durableId="29474779" w16cex:dateUtc="2025-08-12T14:20:00Z"/>
  <w16cex:commentExtensible w16cex:durableId="295CD0DD" w16cex:dateUtc="2025-08-12T14:32:00Z"/>
  <w16cex:commentExtensible w16cex:durableId="5C8F5E69" w16cex:dateUtc="2025-08-12T14:34:00Z"/>
  <w16cex:commentExtensible w16cex:durableId="00354917" w16cex:dateUtc="2025-08-12T14:57:00Z"/>
  <w16cex:commentExtensible w16cex:durableId="2D82BDB1" w16cex:dateUtc="2025-08-12T14:55:00Z"/>
  <w16cex:commentExtensible w16cex:durableId="00638C42" w16cex:dateUtc="2025-08-12T14:50:00Z"/>
  <w16cex:commentExtensible w16cex:durableId="165E6C44" w16cex:dateUtc="2025-08-12T15:03:00Z"/>
  <w16cex:commentExtensible w16cex:durableId="3DE53D19" w16cex:dateUtc="2025-08-12T15:06:00Z"/>
  <w16cex:commentExtensible w16cex:durableId="646D46C1" w16cex:dateUtc="2025-08-12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0B5D72" w16cid:durableId="704B9DA3"/>
  <w16cid:commentId w16cid:paraId="468DFEB5" w16cid:durableId="607365F8"/>
  <w16cid:commentId w16cid:paraId="11BF67B6" w16cid:durableId="06BAC9BD"/>
  <w16cid:commentId w16cid:paraId="73A6CB2D" w16cid:durableId="0F109C27"/>
  <w16cid:commentId w16cid:paraId="33B3DD66" w16cid:durableId="0F2A4759"/>
  <w16cid:commentId w16cid:paraId="3F7EE635" w16cid:durableId="39BF1615"/>
  <w16cid:commentId w16cid:paraId="72843CCD" w16cid:durableId="29474779"/>
  <w16cid:commentId w16cid:paraId="7F5F1418" w16cid:durableId="295CD0DD"/>
  <w16cid:commentId w16cid:paraId="4092C7A2" w16cid:durableId="5C8F5E69"/>
  <w16cid:commentId w16cid:paraId="66A189C8" w16cid:durableId="00354917"/>
  <w16cid:commentId w16cid:paraId="2D1581DE" w16cid:durableId="2D82BDB1"/>
  <w16cid:commentId w16cid:paraId="1070EC9D" w16cid:durableId="00638C42"/>
  <w16cid:commentId w16cid:paraId="68881313" w16cid:durableId="165E6C44"/>
  <w16cid:commentId w16cid:paraId="2FC876CD" w16cid:durableId="3DE53D19"/>
  <w16cid:commentId w16cid:paraId="7D058682" w16cid:durableId="646D46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45EA" w14:textId="77777777" w:rsidR="0073520E" w:rsidRDefault="0073520E" w:rsidP="0073520E">
      <w:pPr>
        <w:spacing w:after="0" w:line="240" w:lineRule="auto"/>
      </w:pPr>
      <w:r>
        <w:separator/>
      </w:r>
    </w:p>
  </w:endnote>
  <w:endnote w:type="continuationSeparator" w:id="0">
    <w:p w14:paraId="763C5F63" w14:textId="77777777" w:rsidR="0073520E" w:rsidRDefault="0073520E" w:rsidP="0073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2C54" w14:textId="77777777" w:rsidR="0073520E" w:rsidRDefault="0073520E" w:rsidP="0073520E">
      <w:pPr>
        <w:spacing w:after="0" w:line="240" w:lineRule="auto"/>
      </w:pPr>
      <w:r>
        <w:separator/>
      </w:r>
    </w:p>
  </w:footnote>
  <w:footnote w:type="continuationSeparator" w:id="0">
    <w:p w14:paraId="3DBC59CB" w14:textId="77777777" w:rsidR="0073520E" w:rsidRDefault="0073520E" w:rsidP="0073520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nicius Martins Diniz">
    <w15:presenceInfo w15:providerId="AD" w15:userId="S::05877729136@mma.gov.br::61730229-3628-4a0d-b8ca-ca6fcc938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E0"/>
    <w:rsid w:val="00017D73"/>
    <w:rsid w:val="000B7262"/>
    <w:rsid w:val="001302E2"/>
    <w:rsid w:val="002C1908"/>
    <w:rsid w:val="00445504"/>
    <w:rsid w:val="004924A1"/>
    <w:rsid w:val="004D36D4"/>
    <w:rsid w:val="00662939"/>
    <w:rsid w:val="0073520E"/>
    <w:rsid w:val="00812EE0"/>
    <w:rsid w:val="00825FF7"/>
    <w:rsid w:val="009B50D9"/>
    <w:rsid w:val="00AD58BE"/>
    <w:rsid w:val="00AF6D82"/>
    <w:rsid w:val="00B74990"/>
    <w:rsid w:val="00C0145E"/>
    <w:rsid w:val="00D06201"/>
    <w:rsid w:val="00D57760"/>
    <w:rsid w:val="00E3149E"/>
    <w:rsid w:val="00ED1E40"/>
    <w:rsid w:val="00EF1954"/>
    <w:rsid w:val="00F6680E"/>
    <w:rsid w:val="00FB629C"/>
    <w:rsid w:val="00FC5BF8"/>
    <w:rsid w:val="0118E2BE"/>
    <w:rsid w:val="0293C024"/>
    <w:rsid w:val="04625D49"/>
    <w:rsid w:val="04C21674"/>
    <w:rsid w:val="0761A834"/>
    <w:rsid w:val="0897FF23"/>
    <w:rsid w:val="08F44AE3"/>
    <w:rsid w:val="0D31A93A"/>
    <w:rsid w:val="11741DDC"/>
    <w:rsid w:val="11D6EB89"/>
    <w:rsid w:val="12E0B310"/>
    <w:rsid w:val="13BB4D3C"/>
    <w:rsid w:val="13C4A336"/>
    <w:rsid w:val="145E4A53"/>
    <w:rsid w:val="1493CDFC"/>
    <w:rsid w:val="1513CE9D"/>
    <w:rsid w:val="1566BEEE"/>
    <w:rsid w:val="16924179"/>
    <w:rsid w:val="185CE377"/>
    <w:rsid w:val="18B10127"/>
    <w:rsid w:val="1C5B5A23"/>
    <w:rsid w:val="2076A88C"/>
    <w:rsid w:val="218C22B5"/>
    <w:rsid w:val="224A4F2A"/>
    <w:rsid w:val="224A945B"/>
    <w:rsid w:val="2267BB64"/>
    <w:rsid w:val="2280A03B"/>
    <w:rsid w:val="237E77B5"/>
    <w:rsid w:val="23CCE9CF"/>
    <w:rsid w:val="2549ED54"/>
    <w:rsid w:val="26397205"/>
    <w:rsid w:val="26E5110F"/>
    <w:rsid w:val="284847F5"/>
    <w:rsid w:val="298C4529"/>
    <w:rsid w:val="2A3BF90F"/>
    <w:rsid w:val="2A4BE99E"/>
    <w:rsid w:val="2B43F9E2"/>
    <w:rsid w:val="2DCBD03C"/>
    <w:rsid w:val="2E2011B6"/>
    <w:rsid w:val="2EF5FD79"/>
    <w:rsid w:val="2F1612D3"/>
    <w:rsid w:val="2F634E6D"/>
    <w:rsid w:val="2F8E7514"/>
    <w:rsid w:val="30A25863"/>
    <w:rsid w:val="316E8D48"/>
    <w:rsid w:val="33B7422D"/>
    <w:rsid w:val="342FFA68"/>
    <w:rsid w:val="34DF3774"/>
    <w:rsid w:val="3553AFB5"/>
    <w:rsid w:val="362F7B1F"/>
    <w:rsid w:val="383773FE"/>
    <w:rsid w:val="38A649C0"/>
    <w:rsid w:val="3937EC33"/>
    <w:rsid w:val="3CF7C264"/>
    <w:rsid w:val="3D60AE4F"/>
    <w:rsid w:val="3DB38514"/>
    <w:rsid w:val="3DD6ADB1"/>
    <w:rsid w:val="3E78B6CC"/>
    <w:rsid w:val="40233288"/>
    <w:rsid w:val="412BBD69"/>
    <w:rsid w:val="41DE3531"/>
    <w:rsid w:val="422A49FD"/>
    <w:rsid w:val="4289FEB3"/>
    <w:rsid w:val="470B19E2"/>
    <w:rsid w:val="472AF190"/>
    <w:rsid w:val="475E013E"/>
    <w:rsid w:val="4786BB66"/>
    <w:rsid w:val="4865968A"/>
    <w:rsid w:val="49245E96"/>
    <w:rsid w:val="496A48E1"/>
    <w:rsid w:val="49976BCB"/>
    <w:rsid w:val="4A0C5390"/>
    <w:rsid w:val="4A2665F7"/>
    <w:rsid w:val="4BCB99A3"/>
    <w:rsid w:val="4D2A8F46"/>
    <w:rsid w:val="4E1FDFCA"/>
    <w:rsid w:val="4EEF7A97"/>
    <w:rsid w:val="518B585D"/>
    <w:rsid w:val="56236ED1"/>
    <w:rsid w:val="57A3AD50"/>
    <w:rsid w:val="58AA07D0"/>
    <w:rsid w:val="5A6A2C65"/>
    <w:rsid w:val="6009FBA4"/>
    <w:rsid w:val="60BDB457"/>
    <w:rsid w:val="61241F2A"/>
    <w:rsid w:val="6134F1D6"/>
    <w:rsid w:val="63318C4C"/>
    <w:rsid w:val="63CC2B87"/>
    <w:rsid w:val="63CED496"/>
    <w:rsid w:val="66774056"/>
    <w:rsid w:val="67385E1B"/>
    <w:rsid w:val="6765FFBA"/>
    <w:rsid w:val="67900893"/>
    <w:rsid w:val="68DF5BEC"/>
    <w:rsid w:val="6C816D2A"/>
    <w:rsid w:val="6EF12C31"/>
    <w:rsid w:val="7101E4B9"/>
    <w:rsid w:val="7129F6FD"/>
    <w:rsid w:val="716BDD39"/>
    <w:rsid w:val="71ABC6FB"/>
    <w:rsid w:val="728C8E3B"/>
    <w:rsid w:val="72BA33B2"/>
    <w:rsid w:val="73D3FFA4"/>
    <w:rsid w:val="73E847F5"/>
    <w:rsid w:val="771B3A1C"/>
    <w:rsid w:val="77ECA52F"/>
    <w:rsid w:val="77FE5230"/>
    <w:rsid w:val="7B3135B6"/>
    <w:rsid w:val="7B73DDBE"/>
    <w:rsid w:val="7F1CA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7A1"/>
  <w15:docId w15:val="{6244BB50-B528-45CE-BFBF-AF9BBC0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362F7B1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629C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73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20E"/>
  </w:style>
  <w:style w:type="paragraph" w:styleId="Rodap">
    <w:name w:val="footer"/>
    <w:basedOn w:val="Normal"/>
    <w:link w:val="RodapChar"/>
    <w:uiPriority w:val="99"/>
    <w:unhideWhenUsed/>
    <w:rsid w:val="0073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20E"/>
  </w:style>
  <w:style w:type="paragraph" w:styleId="PargrafodaLista">
    <w:name w:val="List Paragraph"/>
    <w:basedOn w:val="Normal"/>
    <w:uiPriority w:val="34"/>
    <w:qFormat/>
    <w:rsid w:val="00AF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4282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Mignani</dc:creator>
  <cp:lastModifiedBy>Alonso Rodrigues Marinho Junior</cp:lastModifiedBy>
  <cp:revision>2</cp:revision>
  <dcterms:created xsi:type="dcterms:W3CDTF">2025-08-20T01:01:00Z</dcterms:created>
  <dcterms:modified xsi:type="dcterms:W3CDTF">2025-08-20T01:01:00Z</dcterms:modified>
</cp:coreProperties>
</file>